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modèle national de CPN compte huit contacts, le premier avant 12 semaines et l'un à 26 semaines</w:t>
      </w:r>
      <w:r>
        <w:rPr/>
        <w:t xml:space="preserve"> [5]</w:t>
      </w:r>
      <w:r>
        <w:rPr>
          <w:i w:val="false"/>
          <w:iCs w:val="false"/>
        </w:rPr>
        <w:t xml:space="preserve"> ; le diabète figure parmi les affections recherchées chez toutes les femmes à la première CPN et cochées au registre de maternité</w:t>
      </w:r>
      <w:r>
        <w:rPr/>
        <w:t xml:space="preserve"> [6]</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[7]</w:t>
      </w:r>
      <w:r>
        <w:rPr>
          <w:i w:val="false"/>
          <w:iCs w:val="false"/>
        </w:rPr>
        <w:t>.</w:t>
      </w:r>
    </w:p>
    <w:p>
      <w:pPr>
        <w:pStyle w:val="Normal"/>
        <w:spacing w:before="0" w:after="140"/>
        <w:jc w:val="both"/>
        <w:rPr/>
      </w:pPr>
      <w:r>
        <w:rPr>
          <w:i w:val="false"/>
          <w:iCs w:val="false"/>
        </w:rPr>
        <w:t>Au regard de la Charte d'Ottawa</w:t>
      </w:r>
      <w:r>
        <w:rPr/>
        <w:t xml:space="preserve"> [8]</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sz w:val="24"/>
          <w:szCs w:val="24"/>
        </w:rPr>
      </w:pPr>
      <w:r>
        <w:rPr>
          <w:b/>
          <w:bCs/>
          <w:sz w:val="24"/>
          <w:szCs w:val="24"/>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0,869) et recodage intra-codeur à quatre semaines (κ = 0,958),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sz w:val="24"/>
          <w:szCs w:val="24"/>
        </w:rPr>
      </w:pPr>
      <w:r>
        <w:rPr>
          <w:b/>
          <w:bCs/>
          <w:sz w:val="24"/>
          <w:szCs w:val="24"/>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fonctionne, le test de la première CPN est fait à toutes, mais il reste unique : la glycémie n'est refaite qu'en présence d'un signe d'appel ou d'un facteur de risque, et l'épreuve de charge prévue entre 24 et 28 semaines n'est pratiquée nulle part. Une femme normale au premier trimestre n'est plus suivie sur ce point.</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sz w:val="24"/>
          <w:szCs w:val="24"/>
        </w:rPr>
      </w:pPr>
      <w:r>
        <w:rPr>
          <w:b/>
          <w:bCs/>
          <w:sz w:val="24"/>
          <w:szCs w:val="24"/>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Deux propos qui résument</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entre pratiques déclarées et pratiques observées. L'observation a notamment permis de situer le glucomètre, ce que les entretiens seuls n'établissaient pas.</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[7]</w:t>
      </w:r>
      <w:r>
        <w:rPr>
          <w:i w:val="false"/>
          <w:iCs w:val="false"/>
        </w:rPr>
        <w:t>.</w:t>
      </w:r>
    </w:p>
    <w:p>
      <w:pPr>
        <w:pStyle w:val="ListParagraph"/>
        <w:numPr>
          <w:ilvl w:val="0"/>
          <w:numId w:val="1"/>
        </w:numPr>
        <w:spacing w:before="0" w:after="80"/>
        <w:jc w:val="both"/>
        <w:rPr/>
      </w:pPr>
      <w:r>
        <w:rPr>
          <w:i w:val="false"/>
          <w:iCs w:val="false"/>
        </w:rPr>
        <w:t>Un test unique, trop précoce. La règle prévoit la glycémie pour toutes à la première CPN, mais le diabète gestationnel apparaît surtout entre 24 et 28 semaines, période pour laquelle le protocole national prévoit une épreuve de charge</w:t>
      </w:r>
      <w:r>
        <w:rPr/>
        <w:t xml:space="preserve"> [7]</w:t>
      </w:r>
      <w:r>
        <w:rPr>
          <w:i w:val="false"/>
          <w:iCs w:val="false"/>
        </w:rPr>
        <w:t xml:space="preserve"> que les centres ne pratiquent pas, alors que le contact de 26 semaines s'y prêterait</w:t>
      </w:r>
      <w:r>
        <w:rPr/>
        <w:t xml:space="preserve"> [5]</w:t>
      </w:r>
      <w:r>
        <w:rPr>
          <w:i w:val="false"/>
          <w:iCs w:val="false"/>
        </w:rPr>
        <w:t>. Le dépistage repère ainsi un diabète préexistant plutôt que le diabète de la grossesse.</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[8]</w:t>
      </w:r>
      <w:r>
        <w:rPr>
          <w:i w:val="false"/>
          <w:iCs w:val="false"/>
        </w:rPr>
        <w:t>.</w:t>
      </w:r>
    </w:p>
    <w:p>
      <w:pPr>
        <w:pStyle w:val="ListParagraph"/>
        <w:numPr>
          <w:ilvl w:val="0"/>
          <w:numId w:val="1"/>
        </w:numPr>
        <w:spacing w:before="0" w:after="80"/>
        <w:jc w:val="both"/>
        <w:rPr/>
      </w:pPr>
      <w:r>
        <w:rPr>
          <w:i w:val="false"/>
          <w:iCs w:val="false"/>
        </w:rPr>
        <w:t>Ce qui est compté existe. Les indicateurs orientent intrants, maintenance et supervision. Un dépistage absent du rapport mensuel n'est ni approvisionné ni contrôlé, et un contrôle de complétude du registre peut produire une égalité apparente. Le financement basé sur la performance rémunère les centres pour la première CPN précoce et les quatre visites</w:t>
      </w:r>
      <w:r>
        <w:rPr/>
        <w:t xml:space="preserve"> [6]</w:t>
      </w:r>
      <w:r>
        <w:rPr>
          <w:i w:val="false"/>
          <w:iCs w:val="false"/>
        </w:rPr>
        <w:t>, et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doubler d'un relais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Là où l'équipement est présent, l'inégalité du test diminue, mais celles de la référence vers l'hôpital et de l'explication demeurent : la réponse ne peut être seulement matérielle.</w:t>
      </w:r>
    </w:p>
    <w:p>
      <w:pPr>
        <w:pStyle w:val="Heading1"/>
        <w:spacing w:before="280" w:after="160"/>
        <w:rPr/>
      </w:pPr>
      <w:r>
        <w:rPr/>
        <w:t>6. RECOMMANDATIONS</w:t>
      </w:r>
    </w:p>
    <w:p>
      <w:pPr>
        <w:pStyle w:val="Normal"/>
        <w:keepNext w:val="true"/>
        <w:spacing w:before="200" w:after="80"/>
        <w:rPr>
          <w:sz w:val="24"/>
          <w:szCs w:val="24"/>
        </w:rPr>
      </w:pPr>
      <w:r>
        <w:rPr>
          <w:b/>
          <w:bCs/>
          <w:sz w:val="24"/>
          <w:szCs w:val="24"/>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(signalement au centre des femmes enceintes dépistées) ; 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et représentations professionnelles ; point de vue des femmes non recueilli ; propos notés sans enregistrement ; effet possible de la présence de l'observateur ; données de routine de qualité limitée</w:t>
      </w:r>
      <w:r>
        <w:rPr/>
        <w:t xml:space="preserve"> [12]</w:t>
      </w:r>
      <w:r>
        <w:rPr>
          <w:i w:val="false"/>
          <w:iCs w:val="false"/>
        </w:rPr>
        <w:t xml:space="preserve"> ; un seul district, dont la description permet d'apprécier la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il n'est réalisé qu'à moitié : la tension est mesurée, la glycémie, prévue pour toutes à la première CPN, n'est effectivement faite que dans 5 centres sur 15 et n'est pas refaite entre 24 et 28 semaines. Garantir les bandelettes du test initial et rendre praticable le dépistage à 24-28 semaines, compter les actes de dépistage et leur suite, et soutenir la pratique informative sont les trois leviers qui ressortent de l'étude.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Rwanda Biomedical Centre, Ministry of Health. National antenatal care guidelines. Kigali: RBC; 2021. Disponible sur: https://rbc.gov.rw/MCCH/wp-content/uploads/2025/02/ANC-guideline_-final-Edited-4-February-2021-1-1.pdf</w:t>
      </w:r>
    </w:p>
    <w:p>
      <w:pPr>
        <w:pStyle w:val="Bibliographie"/>
        <w:rPr/>
      </w:pPr>
      <w:r>
        <w:rPr/>
        <w:t>6.</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7.</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8.</w:t>
        <w:tab/>
        <w:t>World Health Organization. Ottawa Charter for Health Promotion. Geneva: WHO; 1986.</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rPr/>
      </w:pPr>
      <w:r>
        <w:rPr/>
        <w:t>11.</w:t>
        <w:tab/>
        <w:t>Musabyimana A, Lundeen T, Butrick E, Sayinzoga F, Rwabufigiri BN, Walker D, Musange SF. Before and after implementation of group antenatal care in Rwanda: a qualitative study of women’s experiences. Reprod Health. 2019;16(1):90. doi:10.1186/s12978-019-0750-5</w:t>
      </w:r>
    </w:p>
    <w:p>
      <w:pPr>
        <w:pStyle w:val="Bibliographie"/>
        <w:spacing w:lineRule="auto" w:line="240" w:before="0" w:after="20"/>
        <w:ind w:hanging="567" w:left="567"/>
        <w:jc w:val="left"/>
        <w:rPr/>
      </w:pPr>
      <w:r>
        <w:rPr/>
        <w:t>12.</w:t>
        <w:tab/>
        <w:t>Nshimyiryo A, Kirk CM, Sauer SM, Ntawuyirusha E, Muhire A, Sayinzoga F, Hedt-Gauthier B. Health management information system (HMIS) data verification: a case study in four districts in Rwanda. PLoS ONE. 2020;15(7):e0235823. doi:10.1371/journal.pone.0235823.</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240" w:before="0" w:after="80"/>
    </w:pPr>
    <w:rPr>
      <w:rFonts w:ascii="Times New Roman" w:hAnsi="Times New Roman" w:eastAsia="Times New Roman" w:cs="Times New Roman"/>
      <w:sz w:val="22"/>
      <w:szCs w:val="22"/>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4"/>
      <w:szCs w:val="24"/>
    </w:rPr>
  </w:style>
  <w:style w:type="paragraph" w:styleId="TOC1">
    <w:name w:val="TOC 1"/>
    <w:basedOn w:val="Normal"/>
    <w:next w:val="Normal"/>
    <w:pPr>
      <w:spacing w:lineRule="auto" w:line="240" w:before="0" w:after="0"/>
      <w:ind w:left="0"/>
      <w:jc w:val="left"/>
    </w:pPr>
    <w:rPr>
      <w:rFonts w:ascii="Times New Roman" w:hAnsi="Times New Roman" w:eastAsia="Times New Roman" w:cs="Times New Roman"/>
      <w:sz w:val="24"/>
      <w:szCs w:val="24"/>
    </w:rPr>
  </w:style>
  <w:style w:type="paragraph" w:styleId="TOC2">
    <w:name w:val="TOC 2"/>
    <w:basedOn w:val="Normal"/>
    <w:next w:val="Normal"/>
    <w:pPr>
      <w:spacing w:lineRule="auto" w:line="240" w:before="0" w:after="0"/>
      <w:ind w:left="240"/>
      <w:jc w:val="left"/>
    </w:pPr>
    <w:rPr>
      <w:rFonts w:ascii="Times New Roman" w:hAnsi="Times New Roman" w:eastAsia="Times New Roman" w:cs="Times New Roman"/>
      <w:sz w:val="24"/>
      <w:szCs w:val="24"/>
    </w:rPr>
  </w:style>
  <w:style w:type="paragraph" w:styleId="TOC3">
    <w:name w:val="TOC 3"/>
    <w:basedOn w:val="Normal"/>
    <w:next w:val="Normal"/>
    <w:pPr>
      <w:spacing w:lineRule="auto" w:line="240" w:before="0" w:after="0"/>
      <w:ind w:left="480"/>
      <w:jc w:val="left"/>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2026-10-03T03:01:54Z</dcterms:created>
  <dc:creator>Un-named</dc:creator>
  <dc:description/>
  <dc:language>en-US</dc:language>
  <cp:lastModifiedBy>Un-named</cp:lastModifiedBy>
  <dcterms:modified xsi:type="dcterms:W3CDTF">2026-10-03T03:01:54Z</dcterms:modified>
  <cp:revision>1</cp:revision>
  <dc:subject/>
  <dc:title/>
</cp:coreProperties>
</file>