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sz w:val="22"/>
          <w:szCs w:val="22"/>
        </w:rPr>
        <w:t xml:space="preserve">UNIVERSITÉ DE PARAKOU — ENATSE</w:t>
      </w:r>
    </w:p>
    <w:p>
      <w:pPr>
        <w:spacing w:after="300"/>
        <w:jc w:val="center"/>
      </w:pPr>
      <w:r>
        <w:rPr>
          <w:sz w:val="20"/>
          <w:szCs w:val="20"/>
        </w:rPr>
        <w:t xml:space="preserve">Master en Santé publique — Promotion de la santé</w:t>
      </w:r>
    </w:p>
    <w:p>
      <w:pPr>
        <w:spacing w:after="240"/>
        <w:jc w:val="center"/>
      </w:pPr>
      <w:r>
        <w:rPr>
          <w:i/>
          <w:iCs/>
          <w:sz w:val="22"/>
          <w:szCs w:val="22"/>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sz w:val="32"/>
          <w:szCs w:val="32"/>
        </w:rPr>
        <w:t xml:space="preserve">Chapitre 6 — Discussion (rédaction d'exercice)</w:t>
      </w:r>
    </w:p>
    <w:p/>
    <w:tbl>
      <w:tblPr>
        <w:tblW w:type="dxa" w:w="9026"/>
        <w:tblBorders>
          <w:top w:val="single" w:color="C0392B" w:sz="12"/>
          <w:left w:val="single" w:color="C0392B" w:sz="12"/>
          <w:bottom w:val="single" w:color="C0392B" w:sz="12"/>
          <w:right w:val="single" w:color="C0392B" w:sz="12"/>
          <w:insideH w:val="single" w:color="auto" w:sz="4"/>
          <w:insideV w:val="single" w:color="auto" w:sz="4"/>
        </w:tblBorders>
      </w:tblPr>
      <w:tblGrid>
        <w:gridCol w:w="9026"/>
      </w:tblGrid>
      <w:tr>
        <w:tc>
          <w:tcPr>
            <w:tcW w:type="dxa" w:w="9026"/>
            <w:shd w:fill="FDEDEC" w:color="auto" w:val="clear"/>
            <w:tcMar>
              <w:top w:type="dxa" w:w="140"/>
              <w:left w:type="dxa" w:w="160"/>
              <w:bottom w:type="dxa" w:w="140"/>
              <w:right w:type="dxa" w:w="160"/>
            </w:tcMar>
          </w:tcPr>
          <w:p>
            <w:r>
              <w:rPr>
                <w:b/>
                <w:bCs/>
                <w:color w:val="C0392B"/>
                <w:sz w:val="22"/>
                <w:szCs w:val="22"/>
              </w:rPr>
              <w:t xml:space="preserve">⚠ DONNÉES ENTIÈREMENT SIMULÉES — EXERCICE DE FORMATION</w:t>
            </w:r>
          </w:p>
          <w:p>
            <w:r>
              <w:rPr>
                <w:sz w:val="19"/>
                <w:szCs w:val="19"/>
              </w:rPr>
              <w:t xml:space="preserve">Aucun entretien n'a été conduit. Aucun centre de santé n'a été visité. Aucune des personnes décrites n'existe. Ce document sert exclusivement à apprendre à manipuler l'outil d'analyse avant la collecte réelle.</w:t>
            </w:r>
          </w:p>
          <w:p>
            <w:r>
              <w:rPr>
                <w:b/>
                <w:bCs/>
                <w:sz w:val="19"/>
                <w:szCs w:val="19"/>
              </w:rPr>
              <w:t xml:space="preserve">Il ne peut être cité, ni figurer dans le mémoire, ni servir de résultat, ni être présenté à un comité d'éthique ou à un jury comme une donnée de terrain.</w:t>
            </w:r>
          </w:p>
        </w:tc>
      </w:tr>
    </w:tbl>
    <w:p/>
    <w:p>
      <w:pPr>
        <w:spacing w:after="80"/>
        <w:rPr>
          <w:sz w:val="20"/>
          <w:szCs w:val="20"/>
        </w:rPr>
      </w:pPr>
      <w:r>
        <w:rPr>
          <w:sz w:val="20"/>
          <w:szCs w:val="20"/>
        </w:rPr>
        <w:t xml:space="preserve">Rédaction d'exercice du chapitre Discussion, à partir des résultats du chapitre 5 et du protocole corrigé.</w:t>
      </w:r>
    </w:p>
    <w:p>
      <w:pPr>
        <w:spacing w:after="80"/>
        <w:rPr>
          <w:sz w:val="20"/>
          <w:szCs w:val="20"/>
        </w:rPr>
      </w:pPr>
      <w:r>
        <w:rPr>
          <w:sz w:val="20"/>
          <w:szCs w:val="20"/>
        </w:rPr>
        <w:t xml:space="preserve"/>
      </w:r>
    </w:p>
    <w:p>
      <w:pPr>
        <w:spacing w:after="80"/>
        <w:rPr>
          <w:sz w:val="20"/>
          <w:szCs w:val="20"/>
        </w:rPr>
      </w:pPr>
      <w:r>
        <w:rPr>
          <w:sz w:val="20"/>
          <w:szCs w:val="20"/>
        </w:rPr>
        <w:t xml:space="preserve">Les numéros 1 à 71 renvoient à la bibliographie du protocole. Les références ajoutées pendant la rédaction sont numérotées à la suite et listées en fin de chapitre : chacune doit être vérifiée dans sa source avant le dépôt.</w:t>
      </w:r>
    </w:p>
    <w:p>
      <w:pPr>
        <w:spacing w:after="80"/>
        <w:rPr>
          <w:sz w:val="20"/>
          <w:szCs w:val="20"/>
        </w:rPr>
      </w:pPr>
      <w:r>
        <w:rPr>
          <w:sz w:val="20"/>
          <w:szCs w:val="20"/>
        </w:rPr>
        <w:t xml:space="preserve"/>
      </w:r>
    </w:p>
    <w:p>
      <w:pPr>
        <w:spacing w:after="80"/>
        <w:rPr>
          <w:sz w:val="20"/>
          <w:szCs w:val="20"/>
        </w:rPr>
      </w:pPr>
      <w:r>
        <w:rPr>
          <w:sz w:val="20"/>
          <w:szCs w:val="20"/>
        </w:rPr>
        <w:t xml:space="preserve">Ce texte est un MODÈLE de forme. La discussion du mémoire réel portera sur les résultats réels et ne reprendra rien de celle-ci.</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Chercheur</w:t>
            </w:r>
          </w:p>
        </w:tc>
        <w:tc>
          <w:tcPr>
            <w:tcW w:type="dxa" w:w="6626"/>
            <w:tcMar>
              <w:top w:type="dxa" w:w="60"/>
              <w:left w:type="dxa" w:w="100"/>
              <w:bottom w:type="dxa" w:w="60"/>
              <w:right w:type="dxa" w:w="100"/>
            </w:tcMar>
          </w:tcPr>
          <w:p>
            <w:r>
              <w:rPr>
                <w:b w:val="false"/>
                <w:bCs w:val="false"/>
                <w:i w:val="false"/>
                <w:iCs w:val="false"/>
                <w:sz w:val="19"/>
                <w:szCs w:val="19"/>
              </w:rPr>
              <w:t xml:space="preserve">MUKAKI DUNIA Jacques</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Institution</w:t>
            </w:r>
          </w:p>
        </w:tc>
        <w:tc>
          <w:tcPr>
            <w:tcW w:type="dxa" w:w="6626"/>
            <w:tcMar>
              <w:top w:type="dxa" w:w="60"/>
              <w:left w:type="dxa" w:w="100"/>
              <w:bottom w:type="dxa" w:w="60"/>
              <w:right w:type="dxa" w:w="100"/>
            </w:tcMar>
          </w:tcPr>
          <w:p>
            <w:r>
              <w:rPr>
                <w:b w:val="false"/>
                <w:bCs w:val="false"/>
                <w:i w:val="false"/>
                <w:iCs w:val="false"/>
                <w:sz w:val="19"/>
                <w:szCs w:val="19"/>
              </w:rPr>
              <w:t xml:space="preserve">ENATSE, Université de Parakou (Bénin) — Master en Santé publique, Promotion de la santé</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Direction</w:t>
            </w:r>
          </w:p>
        </w:tc>
        <w:tc>
          <w:tcPr>
            <w:tcW w:type="dxa" w:w="6626"/>
            <w:tcMar>
              <w:top w:type="dxa" w:w="60"/>
              <w:left w:type="dxa" w:w="100"/>
              <w:bottom w:type="dxa" w:w="60"/>
              <w:right w:type="dxa" w:w="100"/>
            </w:tcMar>
          </w:tcPr>
          <w:p>
            <w:r>
              <w:rPr>
                <w:b w:val="false"/>
                <w:bCs w:val="false"/>
                <w:i w:val="false"/>
                <w:iCs w:val="false"/>
                <w:sz w:val="19"/>
                <w:szCs w:val="19"/>
              </w:rPr>
              <w:t xml:space="preserve">Professeure N. Fanny M. HOUNKPONOU AHOUINGNAN</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 simulée</w:t>
            </w:r>
          </w:p>
        </w:tc>
        <w:tc>
          <w:tcPr>
            <w:tcW w:type="dxa" w:w="6626"/>
            <w:tcMar>
              <w:top w:type="dxa" w:w="60"/>
              <w:left w:type="dxa" w:w="100"/>
              <w:bottom w:type="dxa" w:w="60"/>
              <w:right w:type="dxa" w:w="100"/>
            </w:tcMar>
          </w:tcPr>
          <w:p>
            <w:r>
              <w:rPr>
                <w:b w:val="false"/>
                <w:bCs w:val="false"/>
                <w:i w:val="false"/>
                <w:iCs w:val="false"/>
                <w:sz w:val="19"/>
                <w:szCs w:val="19"/>
              </w:rPr>
              <w:t xml:space="preserve">11 août – 30 septembre 2026 (période prévue au protocole, § 4.2.5.3)</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Échantillon simulé</w:t>
            </w:r>
          </w:p>
        </w:tc>
        <w:tc>
          <w:tcPr>
            <w:tcW w:type="dxa" w:w="6626"/>
            <w:tcMar>
              <w:top w:type="dxa" w:w="60"/>
              <w:left w:type="dxa" w:w="100"/>
              <w:bottom w:type="dxa" w:w="60"/>
              <w:right w:type="dxa" w:w="100"/>
            </w:tcMar>
          </w:tcPr>
          <w:p>
            <w:r>
              <w:rPr>
                <w:b w:val="false"/>
                <w:bCs w:val="false"/>
                <w:i w:val="false"/>
                <w:iCs w:val="false"/>
                <w:sz w:val="19"/>
                <w:szCs w:val="19"/>
              </w:rPr>
              <w:t xml:space="preserve">10 infirmiers ou infirmières et 10 sages-femmes, 15 centres de santé, en deux vagues</w:t>
            </w:r>
          </w:p>
        </w:tc>
      </w:tr>
    </w:tbl>
    <w:p>
      <w:r>
        <w:br w:type="page"/>
      </w:r>
    </w:p>
    <w:p>
      <w:pPr>
        <w:pStyle w:val="Heading1"/>
        <w:spacing w:after="160" w:before="280"/>
      </w:pPr>
      <w:r>
        <w:t xml:space="preserve">6. DISCUSSION</w:t>
      </w:r>
    </w:p>
    <w:p>
      <w:pPr>
        <w:pStyle w:val="Heading2"/>
        <w:spacing w:after="120" w:before="220"/>
      </w:pPr>
      <w:r>
        <w:t xml:space="preserve">6.1. Rappel des principaux résultats</w:t>
      </w:r>
    </w:p>
    <w:p>
      <w:pPr>
        <w:spacing w:after="140"/>
        <w:jc w:val="both"/>
      </w:pPr>
      <w:r>
        <w:rPr>
          <w:i w:val="false"/>
          <w:iCs w:val="false"/>
          <w:sz w:val="22"/>
          <w:szCs w:val="22"/>
        </w:rPr>
        <w:t xml:space="preserve">Le dépistage est « coupé en deux » : la tension est mesurée en CPN, la glycémie relève du laboratoire et n'était réalisable pour une femme enceinte que dans 5 centres sur 15, sur signes d'appel et à ses frais. L'explication est modulée à l'inverse des besoins (17 participants). Les limites relèvent surtout du système, mais une majorité de participants reconnaissent une part qui leur revient.</w:t>
      </w:r>
    </w:p>
    <w:p>
      <w:pPr>
        <w:pStyle w:val="Heading2"/>
        <w:spacing w:after="120" w:before="220"/>
      </w:pPr>
      <w:r>
        <w:t xml:space="preserve">6.2. Discussion des résultats</w:t>
      </w:r>
    </w:p>
    <w:p>
      <w:pPr>
        <w:pStyle w:val="Heading3"/>
        <w:spacing w:after="100" w:before="180"/>
      </w:pPr>
      <w:r>
        <w:t xml:space="preserve">6.2.1. Deux programmes dans le même centre</w:t>
      </w:r>
    </w:p>
    <w:p>
      <w:pPr>
        <w:spacing w:after="140"/>
        <w:jc w:val="both"/>
      </w:pPr>
      <w:r>
        <w:rPr>
          <w:i w:val="false"/>
          <w:iCs w:val="false"/>
          <w:sz w:val="22"/>
          <w:szCs w:val="22"/>
        </w:rPr>
        <w:t xml:space="preserve">Les recommandations font de la CPN le lieu d'une mesure systématique de la pression artérielle et d'un dépistage du diabète orienté par les facteurs de risque</w:t>
      </w:r>
      <w:r>
        <w:rPr>
          <w:sz w:val="22"/>
          <w:szCs w:val="22"/>
        </w:rPr>
        <w:t xml:space="preserve"> [11]</w:t>
      </w:r>
      <w:r>
        <w:rPr>
          <w:i w:val="false"/>
          <w:iCs w:val="false"/>
          <w:sz w:val="22"/>
          <w:szCs w:val="22"/>
        </w:rPr>
        <w:t xml:space="preserve">, et des milieux de vie le cadre de l'action promotionnelle</w:t>
      </w:r>
      <w:r>
        <w:rPr>
          <w:sz w:val="22"/>
          <w:szCs w:val="22"/>
        </w:rPr>
        <w:t xml:space="preserve"> [12]</w:t>
      </w:r>
      <w:r>
        <w:rPr>
          <w:i w:val="false"/>
          <w:iCs w:val="false"/>
          <w:sz w:val="22"/>
          <w:szCs w:val="22"/>
        </w:rPr>
        <w:t xml:space="preserve">. Or la décentralisation des soins chroniques, prolongée par le mentorat d'infirmiers de centres de santé</w:t>
      </w:r>
      <w:r>
        <w:rPr>
          <w:sz w:val="22"/>
          <w:szCs w:val="22"/>
        </w:rPr>
        <w:t xml:space="preserve"> [72]</w:t>
      </w:r>
      <w:r>
        <w:rPr>
          <w:i w:val="false"/>
          <w:iCs w:val="false"/>
          <w:sz w:val="22"/>
          <w:szCs w:val="22"/>
        </w:rPr>
        <w:t xml:space="preserve"> dans la logique du paquet essentiel de l'OMS</w:t>
      </w:r>
      <w:r>
        <w:rPr>
          <w:sz w:val="22"/>
          <w:szCs w:val="22"/>
        </w:rPr>
        <w:t xml:space="preserve"> [14]</w:t>
      </w:r>
      <w:r>
        <w:rPr>
          <w:i w:val="false"/>
          <w:iCs w:val="false"/>
          <w:sz w:val="22"/>
          <w:szCs w:val="22"/>
        </w:rPr>
        <w:t xml:space="preserve">, a rattaché le glucomètre à la consultation des maladies chroniques. Deux programmes coexistent sans la jonction que la revue jugeait absente</w:t>
      </w:r>
      <w:r>
        <w:rPr>
          <w:sz w:val="22"/>
          <w:szCs w:val="22"/>
        </w:rPr>
        <w:t xml:space="preserve"> [63,64]</w:t>
      </w:r>
      <w:r>
        <w:rPr>
          <w:i w:val="false"/>
          <w:iCs w:val="false"/>
          <w:sz w:val="22"/>
          <w:szCs w:val="22"/>
        </w:rPr>
        <w:t xml:space="preserve">, ce qui donne un contenu matériel au déficit de mise en œuvre pointé par l'Appel de Nairobi</w:t>
      </w:r>
      <w:r>
        <w:rPr>
          <w:sz w:val="22"/>
          <w:szCs w:val="22"/>
        </w:rPr>
        <w:t xml:space="preserve"> [22]</w:t>
      </w:r>
      <w:r>
        <w:rPr>
          <w:i w:val="false"/>
          <w:iCs w:val="false"/>
          <w:sz w:val="22"/>
          <w:szCs w:val="22"/>
        </w:rPr>
        <w:t xml:space="preserve">. Les données nationales concordent : dépistage du diabète gestationnel non systématique, prévalence de 3,2 % estimée pour la recherche</w:t>
      </w:r>
      <w:r>
        <w:rPr>
          <w:sz w:val="22"/>
          <w:szCs w:val="22"/>
        </w:rPr>
        <w:t xml:space="preserve"> [27]</w:t>
      </w:r>
      <w:r>
        <w:rPr>
          <w:i w:val="false"/>
          <w:iCs w:val="false"/>
          <w:sz w:val="22"/>
          <w:szCs w:val="22"/>
        </w:rPr>
        <w:t xml:space="preserve">, et 87,0 % des femmes jamais testées pour la glycémie contre 38 % pour la tension</w:t>
      </w:r>
      <w:r>
        <w:rPr>
          <w:sz w:val="22"/>
          <w:szCs w:val="22"/>
        </w:rPr>
        <w:t xml:space="preserve"> [16]</w:t>
      </w:r>
      <w:r>
        <w:rPr>
          <w:i w:val="false"/>
          <w:iCs w:val="false"/>
          <w:sz w:val="22"/>
          <w:szCs w:val="22"/>
        </w:rPr>
        <w:t xml:space="preserve">.</w:t>
      </w:r>
    </w:p>
    <w:p>
      <w:pPr>
        <w:spacing w:after="140"/>
        <w:jc w:val="both"/>
      </w:pPr>
      <w:r>
        <w:rPr>
          <w:i w:val="false"/>
          <w:iCs w:val="false"/>
          <w:sz w:val="22"/>
          <w:szCs w:val="22"/>
        </w:rPr>
        <w:t xml:space="preserve">Là où le circuit est ouvert, la sélection se fait sur des signes, faute de critères écrits, puis sur les moyens, le test étant hors du paquet de soins. La couverture de l'assurance communautaire (85,3 %)</w:t>
      </w:r>
      <w:r>
        <w:rPr>
          <w:sz w:val="22"/>
          <w:szCs w:val="22"/>
        </w:rPr>
        <w:t xml:space="preserve"> [59]</w:t>
      </w:r>
      <w:r>
        <w:rPr>
          <w:i w:val="false"/>
          <w:iCs w:val="false"/>
          <w:sz w:val="22"/>
          <w:szCs w:val="22"/>
        </w:rPr>
        <w:t xml:space="preserve"> n'empêche pas un recours concentré parmi les plus aisés</w:t>
      </w:r>
      <w:r>
        <w:rPr>
          <w:sz w:val="22"/>
          <w:szCs w:val="22"/>
        </w:rPr>
        <w:t xml:space="preserve"> [61,62]</w:t>
      </w:r>
      <w:r>
        <w:rPr>
          <w:i w:val="false"/>
          <w:iCs w:val="false"/>
          <w:sz w:val="22"/>
          <w:szCs w:val="22"/>
        </w:rPr>
        <w:t xml:space="preserve"> : cette seconde sélection porte sur ce que la Charte demande de corriger en conférant les moyens</w:t>
      </w:r>
      <w:r>
        <w:rPr>
          <w:sz w:val="22"/>
          <w:szCs w:val="22"/>
        </w:rPr>
        <w:t xml:space="preserve"> [23]</w:t>
      </w:r>
      <w:r>
        <w:rPr>
          <w:i w:val="false"/>
          <w:iCs w:val="false"/>
          <w:sz w:val="22"/>
          <w:szCs w:val="22"/>
        </w:rPr>
        <w:t xml:space="preserve">. Elle invite à ne pas lire la faible prévalence rwandaise, quand les estimations africaines varient selon les critères</w:t>
      </w:r>
      <w:r>
        <w:rPr>
          <w:sz w:val="22"/>
          <w:szCs w:val="22"/>
        </w:rPr>
        <w:t xml:space="preserve"> [6,7,35-37]</w:t>
      </w:r>
      <w:r>
        <w:rPr>
          <w:i w:val="false"/>
          <w:iCs w:val="false"/>
          <w:sz w:val="22"/>
          <w:szCs w:val="22"/>
        </w:rPr>
        <w:t xml:space="preserve">, comme une donnée épidémiologique pure.</w:t>
      </w:r>
    </w:p>
    <w:p>
      <w:pPr>
        <w:pStyle w:val="Heading3"/>
        <w:spacing w:after="100" w:before="180"/>
      </w:pPr>
      <w:r>
        <w:t xml:space="preserve">6.2.2. Le prestataire, opérateur concret de l'équité</w:t>
      </w:r>
    </w:p>
    <w:p>
      <w:pPr>
        <w:spacing w:after="140"/>
        <w:jc w:val="both"/>
      </w:pPr>
      <w:r>
        <w:rPr>
          <w:i w:val="false"/>
          <w:iCs w:val="false"/>
          <w:sz w:val="22"/>
          <w:szCs w:val="22"/>
        </w:rPr>
        <w:t xml:space="preserve">La littérature établit un gradient social du suivi prénatal</w:t>
      </w:r>
      <w:r>
        <w:rPr>
          <w:sz w:val="22"/>
          <w:szCs w:val="22"/>
        </w:rPr>
        <w:t xml:space="preserve"> [52-55]</w:t>
      </w:r>
      <w:r>
        <w:rPr>
          <w:i w:val="false"/>
          <w:iCs w:val="false"/>
          <w:sz w:val="22"/>
          <w:szCs w:val="22"/>
        </w:rPr>
        <w:t xml:space="preserve"> et des obstacles vus par les femmes</w:t>
      </w:r>
      <w:r>
        <w:rPr>
          <w:sz w:val="22"/>
          <w:szCs w:val="22"/>
        </w:rPr>
        <w:t xml:space="preserve"> [56,57]</w:t>
      </w:r>
      <w:r>
        <w:rPr>
          <w:i w:val="false"/>
          <w:iCs w:val="false"/>
          <w:sz w:val="22"/>
          <w:szCs w:val="22"/>
        </w:rPr>
        <w:t xml:space="preserve">, mais un seul travail avait interrogé des prestataires</w:t>
      </w:r>
      <w:r>
        <w:rPr>
          <w:sz w:val="22"/>
          <w:szCs w:val="22"/>
        </w:rPr>
        <w:t xml:space="preserve"> [58]</w:t>
      </w:r>
      <w:r>
        <w:rPr>
          <w:i w:val="false"/>
          <w:iCs w:val="false"/>
          <w:sz w:val="22"/>
          <w:szCs w:val="22"/>
        </w:rPr>
        <w:t xml:space="preserve">. Nos résultats décrivent comment le service reproduit l'inégalité : l'explication va d'abord aux femmes qui en ont le moins besoin, à l'image de la « loi inverse des soins »</w:t>
      </w:r>
      <w:r>
        <w:rPr>
          <w:sz w:val="22"/>
          <w:szCs w:val="22"/>
        </w:rPr>
        <w:t xml:space="preserve"> [73]</w:t>
      </w:r>
      <w:r>
        <w:rPr>
          <w:i w:val="false"/>
          <w:iCs w:val="false"/>
          <w:sz w:val="22"/>
          <w:szCs w:val="22"/>
        </w:rPr>
        <w:t xml:space="preserve">. Au regard de l'axe « aptitudes individuelles » de la Charte</w:t>
      </w:r>
      <w:r>
        <w:rPr>
          <w:sz w:val="22"/>
          <w:szCs w:val="22"/>
        </w:rPr>
        <w:t xml:space="preserve"> [23]</w:t>
      </w:r>
      <w:r>
        <w:rPr>
          <w:i w:val="false"/>
          <w:iCs w:val="false"/>
          <w:sz w:val="22"/>
          <w:szCs w:val="22"/>
        </w:rPr>
        <w:t xml:space="preserve">, une inégalité de littératie</w:t>
      </w:r>
      <w:r>
        <w:rPr>
          <w:sz w:val="22"/>
          <w:szCs w:val="22"/>
        </w:rPr>
        <w:t xml:space="preserve"> [74]</w:t>
      </w:r>
      <w:r>
        <w:rPr>
          <w:i w:val="false"/>
          <w:iCs w:val="false"/>
          <w:sz w:val="22"/>
          <w:szCs w:val="22"/>
        </w:rPr>
        <w:t xml:space="preserve"> devient une inégalité de capacité d'agir</w:t>
      </w:r>
      <w:r>
        <w:rPr>
          <w:sz w:val="22"/>
          <w:szCs w:val="22"/>
        </w:rPr>
        <w:t xml:space="preserve"> [51]</w:t>
      </w:r>
      <w:r>
        <w:rPr>
          <w:i w:val="false"/>
          <w:iCs w:val="false"/>
          <w:sz w:val="22"/>
          <w:szCs w:val="22"/>
        </w:rPr>
        <w:t xml:space="preserve"> ; la CPN en groupe montre d'ailleurs que cette portée ne se lit pas dans les indicateurs de contact</w:t>
      </w:r>
      <w:r>
        <w:rPr>
          <w:sz w:val="22"/>
          <w:szCs w:val="22"/>
        </w:rPr>
        <w:t xml:space="preserve"> [65,66]</w:t>
      </w:r>
      <w:r>
        <w:rPr>
          <w:i w:val="false"/>
          <w:iCs w:val="false"/>
          <w:sz w:val="22"/>
          <w:szCs w:val="22"/>
        </w:rPr>
        <w:t xml:space="preserve">. Il s'agit d'un rationnement sous contrainte de temps</w:t>
      </w:r>
      <w:r>
        <w:rPr>
          <w:sz w:val="22"/>
          <w:szCs w:val="22"/>
        </w:rPr>
        <w:t xml:space="preserve"> [75]</w:t>
      </w:r>
      <w:r>
        <w:rPr>
          <w:i w:val="false"/>
          <w:iCs w:val="false"/>
          <w:sz w:val="22"/>
          <w:szCs w:val="22"/>
        </w:rPr>
        <w:t xml:space="preserve">, dans un pays en déficit de professionnels</w:t>
      </w:r>
      <w:r>
        <w:rPr>
          <w:sz w:val="22"/>
          <w:szCs w:val="22"/>
        </w:rPr>
        <w:t xml:space="preserve"> [70]</w:t>
      </w:r>
      <w:r>
        <w:rPr>
          <w:i w:val="false"/>
          <w:iCs w:val="false"/>
          <w:sz w:val="22"/>
          <w:szCs w:val="22"/>
        </w:rPr>
        <w:t xml:space="preserve"> ; les contre-pratiques décrites rejoignent l'universalisme proportionné</w:t>
      </w:r>
      <w:r>
        <w:rPr>
          <w:sz w:val="22"/>
          <w:szCs w:val="22"/>
        </w:rPr>
        <w:t xml:space="preserve"> [76]</w:t>
      </w:r>
      <w:r>
        <w:rPr>
          <w:i w:val="false"/>
          <w:iCs w:val="false"/>
          <w:sz w:val="22"/>
          <w:szCs w:val="22"/>
        </w:rPr>
        <w:t xml:space="preserve">.</w:t>
      </w:r>
    </w:p>
    <w:p>
      <w:pPr>
        <w:pStyle w:val="Heading3"/>
        <w:spacing w:after="100" w:before="180"/>
      </w:pPr>
      <w:r>
        <w:t xml:space="preserve">6.2.3. Ce qui est compté, et ce qui le suit</w:t>
      </w:r>
    </w:p>
    <w:p>
      <w:pPr>
        <w:spacing w:after="140"/>
        <w:jc w:val="both"/>
      </w:pPr>
      <w:r>
        <w:rPr>
          <w:i w:val="false"/>
          <w:iCs w:val="false"/>
          <w:sz w:val="22"/>
          <w:szCs w:val="22"/>
        </w:rPr>
        <w:t xml:space="preserve">Ce qui n'est pas compté au titre de la CPN n'y est ni commandé, ni réparé, ni supervisé ; le mentorat clinique a montré que ces pratiques changent quand on leur porte attention</w:t>
      </w:r>
      <w:r>
        <w:rPr>
          <w:sz w:val="22"/>
          <w:szCs w:val="22"/>
        </w:rPr>
        <w:t xml:space="preserve"> [68]</w:t>
      </w:r>
      <w:r>
        <w:rPr>
          <w:i w:val="false"/>
          <w:iCs w:val="false"/>
          <w:sz w:val="22"/>
          <w:szCs w:val="22"/>
        </w:rPr>
        <w:t xml:space="preserve">. À l'inverse, contrôler la complétude produit de la complétude</w:t>
      </w:r>
      <w:r>
        <w:rPr>
          <w:sz w:val="22"/>
          <w:szCs w:val="22"/>
        </w:rPr>
        <w:t xml:space="preserve"> [77]</w:t>
      </w:r>
      <w:r>
        <w:rPr>
          <w:i w:val="false"/>
          <w:iCs w:val="false"/>
          <w:sz w:val="22"/>
          <w:szCs w:val="22"/>
        </w:rPr>
        <w:t xml:space="preserve">, comme le suggère la faible concordance entre indicateurs prénatals et registres rwandais</w:t>
      </w:r>
      <w:r>
        <w:rPr>
          <w:sz w:val="22"/>
          <w:szCs w:val="22"/>
        </w:rPr>
        <w:t xml:space="preserve"> [69]</w:t>
      </w:r>
      <w:r>
        <w:rPr>
          <w:i w:val="false"/>
          <w:iCs w:val="false"/>
          <w:sz w:val="22"/>
          <w:szCs w:val="22"/>
        </w:rPr>
        <w:t xml:space="preserve">. La détection, enfin, n'a de valeur que si la référence aboutit : les facteurs limitants inventoriés ailleurs</w:t>
      </w:r>
      <w:r>
        <w:rPr>
          <w:sz w:val="22"/>
          <w:szCs w:val="22"/>
        </w:rPr>
        <w:t xml:space="preserve"> [24-26]</w:t>
      </w:r>
      <w:r>
        <w:rPr>
          <w:i w:val="false"/>
          <w:iCs w:val="false"/>
          <w:sz w:val="22"/>
          <w:szCs w:val="22"/>
        </w:rPr>
        <w:t xml:space="preserve"> s'articulent ici en une chaîne — transport, décision du ménage, retour d'information —, en accord avec les références sous-optimales décrites au Rwanda</w:t>
      </w:r>
      <w:r>
        <w:rPr>
          <w:sz w:val="22"/>
          <w:szCs w:val="22"/>
        </w:rPr>
        <w:t xml:space="preserve"> [78]</w:t>
      </w:r>
      <w:r>
        <w:rPr>
          <w:i w:val="false"/>
          <w:iCs w:val="false"/>
          <w:sz w:val="22"/>
          <w:szCs w:val="22"/>
        </w:rPr>
        <w:t xml:space="preserve">, et le suivi s'interrompt à l'accouchement alors que la grossesse peut révéler ces affections</w:t>
      </w:r>
      <w:r>
        <w:rPr>
          <w:sz w:val="22"/>
          <w:szCs w:val="22"/>
        </w:rPr>
        <w:t xml:space="preserve"> [4,5]</w:t>
      </w:r>
      <w:r>
        <w:rPr>
          <w:i w:val="false"/>
          <w:iCs w:val="false"/>
          <w:sz w:val="22"/>
          <w:szCs w:val="22"/>
        </w:rPr>
        <w:t xml:space="preserve">. Ces résultats relèvent des milieux favorables et de la médiation</w:t>
      </w:r>
      <w:r>
        <w:rPr>
          <w:sz w:val="22"/>
          <w:szCs w:val="22"/>
        </w:rPr>
        <w:t xml:space="preserve"> [23]</w:t>
      </w:r>
      <w:r>
        <w:rPr>
          <w:i w:val="false"/>
          <w:iCs w:val="false"/>
          <w:sz w:val="22"/>
          <w:szCs w:val="22"/>
        </w:rPr>
        <w:t xml:space="preserve">.</w:t>
      </w:r>
    </w:p>
    <w:p>
      <w:pPr>
        <w:pStyle w:val="Heading3"/>
        <w:spacing w:after="100" w:before="180"/>
      </w:pPr>
      <w:r>
        <w:t xml:space="preserve">6.2.4. Une portée reconnue en équité</w:t>
      </w:r>
    </w:p>
    <w:p>
      <w:pPr>
        <w:spacing w:after="140"/>
        <w:jc w:val="both"/>
      </w:pPr>
      <w:r>
        <w:rPr>
          <w:i w:val="false"/>
          <w:iCs w:val="false"/>
          <w:sz w:val="22"/>
          <w:szCs w:val="22"/>
        </w:rPr>
        <w:t xml:space="preserve">Sans que le mot soit prononcé, 16 participants sur 20 jugent inacceptables des différences qu'ils situent dans les conditions plutôt que dans les femmes, conformément à la définition de l'équité retenue</w:t>
      </w:r>
      <w:r>
        <w:rPr>
          <w:sz w:val="22"/>
          <w:szCs w:val="22"/>
        </w:rPr>
        <w:t xml:space="preserve"> [51]</w:t>
      </w:r>
      <w:r>
        <w:rPr>
          <w:i w:val="false"/>
          <w:iCs w:val="false"/>
          <w:sz w:val="22"/>
          <w:szCs w:val="22"/>
        </w:rPr>
        <w:t xml:space="preserve"> ; que 11 reconnaissent une part qui leur revient donne un point d'appui à la réorientation des services.</w:t>
      </w:r>
    </w:p>
    <w:p>
      <w:pPr>
        <w:pStyle w:val="Heading2"/>
        <w:spacing w:after="120" w:before="220"/>
      </w:pPr>
      <w:r>
        <w:t xml:space="preserve">6.3. Retour sur le cadre conceptuel</w:t>
      </w:r>
    </w:p>
    <w:p>
      <w:pPr>
        <w:spacing w:after="140"/>
        <w:jc w:val="both"/>
      </w:pPr>
      <w:r>
        <w:rPr>
          <w:i w:val="false"/>
          <w:iCs w:val="false"/>
          <w:sz w:val="22"/>
          <w:szCs w:val="22"/>
        </w:rPr>
        <w:t xml:space="preserve">Sur les 81 codes de l'arbre final, 34 sont nés du matériau. Ils ne remettent pas en cause les deux ensembles du cadre, mais appellent trois révisions (tableau VIII), que la figure 3 intègre : une cascade d'accès à la glycémie au niveau organisationnel, que le modèle socio-écologique</w:t>
      </w:r>
      <w:r>
        <w:rPr>
          <w:sz w:val="22"/>
          <w:szCs w:val="22"/>
        </w:rPr>
        <w:t xml:space="preserve"> [41]</w:t>
      </w:r>
      <w:r>
        <w:rPr>
          <w:i w:val="false"/>
          <w:iCs w:val="false"/>
          <w:sz w:val="22"/>
          <w:szCs w:val="22"/>
        </w:rPr>
        <w:t xml:space="preserve"> ne laissait pas voir ; le dispositif de contrôle comme condition systémique ; une articulation communautaire ; et trois dimensions de l'équité d'accès — au test, à l'explication, à la continuité.</w:t>
      </w:r>
    </w:p>
    <w:p>
      <w:pPr>
        <w:keepNext/>
        <w:spacing w:after="80" w:before="200"/>
      </w:pPr>
      <w:r>
        <w:rPr>
          <w:b/>
          <w:bCs/>
          <w:sz w:val="20"/>
          <w:szCs w:val="20"/>
        </w:rPr>
        <w:t xml:space="preserve">Tableau VIII. Révisions du cadre conceptuel suggérées par les codes inductifs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900"/>
        <w:gridCol w:w="3826"/>
      </w:tblGrid>
      <w:tr>
        <w:trPr>
          <w:tblHeader/>
        </w:trPr>
        <w:tc>
          <w:tcPr>
            <w:tcW w:type="dxa" w:w="2300"/>
            <w:shd w:fill="E8EDF2" w:color="auto" w:val="clear"/>
            <w:tcMar>
              <w:top w:type="dxa" w:w="60"/>
              <w:left w:type="dxa" w:w="100"/>
              <w:bottom w:type="dxa" w:w="60"/>
              <w:right w:type="dxa" w:w="100"/>
            </w:tcMar>
          </w:tcPr>
          <w:p>
            <w:r>
              <w:rPr>
                <w:b/>
                <w:bCs/>
                <w:i w:val="false"/>
                <w:iCs w:val="false"/>
                <w:sz w:val="19"/>
                <w:szCs w:val="19"/>
              </w:rPr>
              <w:t xml:space="preserve">Niveau du cadre</w:t>
            </w:r>
          </w:p>
        </w:tc>
        <w:tc>
          <w:tcPr>
            <w:tcW w:type="dxa" w:w="2900"/>
            <w:shd w:fill="E8EDF2" w:color="auto" w:val="clear"/>
            <w:tcMar>
              <w:top w:type="dxa" w:w="60"/>
              <w:left w:type="dxa" w:w="100"/>
              <w:bottom w:type="dxa" w:w="60"/>
              <w:right w:type="dxa" w:w="100"/>
            </w:tcMar>
          </w:tcPr>
          <w:p>
            <w:r>
              <w:rPr>
                <w:b/>
                <w:bCs/>
                <w:i w:val="false"/>
                <w:iCs w:val="false"/>
                <w:sz w:val="19"/>
                <w:szCs w:val="19"/>
              </w:rPr>
              <w:t xml:space="preserve">Révision suggérée</w:t>
            </w:r>
          </w:p>
        </w:tc>
        <w:tc>
          <w:tcPr>
            <w:tcW w:type="dxa" w:w="3826"/>
            <w:shd w:fill="E8EDF2" w:color="auto" w:val="clear"/>
            <w:tcMar>
              <w:top w:type="dxa" w:w="60"/>
              <w:left w:type="dxa" w:w="100"/>
              <w:bottom w:type="dxa" w:w="60"/>
              <w:right w:type="dxa" w:w="100"/>
            </w:tcMar>
          </w:tcPr>
          <w:p>
            <w:r>
              <w:rPr>
                <w:b/>
                <w:bCs/>
                <w:i w:val="false"/>
                <w:iCs w:val="false"/>
                <w:sz w:val="19"/>
                <w:szCs w:val="19"/>
              </w:rPr>
              <w:t xml:space="preserve">Résultats qui l'appellent</w:t>
            </w:r>
          </w:p>
        </w:tc>
      </w:tr>
      <w:tr>
        <w:trPr>
          <w:tblHeader w:val="off"/>
        </w:trPr>
        <w:tc>
          <w:tcPr>
            <w:tcW w:type="dxa" w:w="2300"/>
            <w:tcMar>
              <w:top w:type="dxa" w:w="60"/>
              <w:left w:type="dxa" w:w="100"/>
              <w:bottom w:type="dxa" w:w="60"/>
              <w:right w:type="dxa" w:w="100"/>
            </w:tcMar>
          </w:tcPr>
          <w:p>
            <w:r>
              <w:rPr>
                <w:b w:val="false"/>
                <w:bCs w:val="false"/>
                <w:i w:val="false"/>
                <w:iCs w:val="false"/>
                <w:sz w:val="19"/>
                <w:szCs w:val="19"/>
              </w:rPr>
              <w:t xml:space="preserve">Niveau organisationnel</w:t>
            </w:r>
          </w:p>
        </w:tc>
        <w:tc>
          <w:tcPr>
            <w:tcW w:type="dxa" w:w="2900"/>
            <w:tcMar>
              <w:top w:type="dxa" w:w="60"/>
              <w:left w:type="dxa" w:w="100"/>
              <w:bottom w:type="dxa" w:w="60"/>
              <w:right w:type="dxa" w:w="100"/>
            </w:tcMar>
          </w:tcPr>
          <w:p>
            <w:r>
              <w:rPr>
                <w:b w:val="false"/>
                <w:bCs w:val="false"/>
                <w:i w:val="false"/>
                <w:iCs w:val="false"/>
                <w:sz w:val="19"/>
                <w:szCs w:val="19"/>
              </w:rPr>
              <w:t xml:space="preserve">Distinguer l'intrant présent, l'intrant utilisable, l'intrant accessible à la CPN et le test accessible sans frais à la femme</w:t>
            </w:r>
          </w:p>
        </w:tc>
        <w:tc>
          <w:tcPr>
            <w:tcW w:type="dxa" w:w="3826"/>
            <w:tcMar>
              <w:top w:type="dxa" w:w="60"/>
              <w:left w:type="dxa" w:w="100"/>
              <w:bottom w:type="dxa" w:w="60"/>
              <w:right w:type="dxa" w:w="100"/>
            </w:tcMar>
          </w:tcPr>
          <w:p>
            <w:r>
              <w:rPr>
                <w:b w:val="false"/>
                <w:bCs w:val="false"/>
                <w:i w:val="false"/>
                <w:iCs w:val="false"/>
                <w:sz w:val="19"/>
                <w:szCs w:val="19"/>
              </w:rPr>
              <w:t xml:space="preserve">Glucomètre au laboratoire ou à la consultation des maladies chroniques ; bandelettes réservées, absentes ou périmées ; appareils en panne ; test hors du paquet de la CPN, payé par la femme (thèmes 1 et 5)</w:t>
            </w:r>
          </w:p>
        </w:tc>
      </w:tr>
      <w:tr>
        <w:trPr>
          <w:tblHeader w:val="off"/>
        </w:trPr>
        <w:tc>
          <w:tcPr>
            <w:tcW w:type="dxa" w:w="2300"/>
            <w:tcMar>
              <w:top w:type="dxa" w:w="60"/>
              <w:left w:type="dxa" w:w="100"/>
              <w:bottom w:type="dxa" w:w="60"/>
              <w:right w:type="dxa" w:w="100"/>
            </w:tcMar>
          </w:tcPr>
          <w:p>
            <w:r>
              <w:rPr>
                <w:b w:val="false"/>
                <w:bCs w:val="false"/>
                <w:i w:val="false"/>
                <w:iCs w:val="false"/>
                <w:sz w:val="19"/>
                <w:szCs w:val="19"/>
              </w:rPr>
              <w:t xml:space="preserve">Entre le service et le social perçu</w:t>
            </w:r>
          </w:p>
        </w:tc>
        <w:tc>
          <w:tcPr>
            <w:tcW w:type="dxa" w:w="2900"/>
            <w:tcMar>
              <w:top w:type="dxa" w:w="60"/>
              <w:left w:type="dxa" w:w="100"/>
              <w:bottom w:type="dxa" w:w="60"/>
              <w:right w:type="dxa" w:w="100"/>
            </w:tcMar>
          </w:tcPr>
          <w:p>
            <w:r>
              <w:rPr>
                <w:b w:val="false"/>
                <w:bCs w:val="false"/>
                <w:i w:val="false"/>
                <w:iCs w:val="false"/>
                <w:sz w:val="19"/>
                <w:szCs w:val="19"/>
              </w:rPr>
              <w:t xml:space="preserve">Ajouter une articulation communautaire</w:t>
            </w:r>
          </w:p>
        </w:tc>
        <w:tc>
          <w:tcPr>
            <w:tcW w:type="dxa" w:w="3826"/>
            <w:tcMar>
              <w:top w:type="dxa" w:w="60"/>
              <w:left w:type="dxa" w:w="100"/>
              <w:bottom w:type="dxa" w:w="60"/>
              <w:right w:type="dxa" w:w="100"/>
            </w:tcMar>
          </w:tcPr>
          <w:p>
            <w:r>
              <w:rPr>
                <w:b w:val="false"/>
                <w:bCs w:val="false"/>
                <w:i w:val="false"/>
                <w:iCs w:val="false"/>
                <w:sz w:val="19"/>
                <w:szCs w:val="19"/>
              </w:rPr>
              <w:t xml:space="preserve">Relais des agents de santé communautaire, suivi des femmes référées (thème 7)</w:t>
            </w:r>
          </w:p>
        </w:tc>
      </w:tr>
      <w:tr>
        <w:trPr>
          <w:tblHeader w:val="off"/>
        </w:trPr>
        <w:tc>
          <w:tcPr>
            <w:tcW w:type="dxa" w:w="2300"/>
            <w:tcMar>
              <w:top w:type="dxa" w:w="60"/>
              <w:left w:type="dxa" w:w="100"/>
              <w:bottom w:type="dxa" w:w="60"/>
              <w:right w:type="dxa" w:w="100"/>
            </w:tcMar>
          </w:tcPr>
          <w:p>
            <w:r>
              <w:rPr>
                <w:b w:val="false"/>
                <w:bCs w:val="false"/>
                <w:i w:val="false"/>
                <w:iCs w:val="false"/>
                <w:sz w:val="19"/>
                <w:szCs w:val="19"/>
              </w:rPr>
              <w:t xml:space="preserve">Niveau systémique</w:t>
            </w:r>
          </w:p>
        </w:tc>
        <w:tc>
          <w:tcPr>
            <w:tcW w:type="dxa" w:w="2900"/>
            <w:tcMar>
              <w:top w:type="dxa" w:w="60"/>
              <w:left w:type="dxa" w:w="100"/>
              <w:bottom w:type="dxa" w:w="60"/>
              <w:right w:type="dxa" w:w="100"/>
            </w:tcMar>
          </w:tcPr>
          <w:p>
            <w:r>
              <w:rPr>
                <w:b w:val="false"/>
                <w:bCs w:val="false"/>
                <w:i w:val="false"/>
                <w:iCs w:val="false"/>
                <w:sz w:val="19"/>
                <w:szCs w:val="19"/>
              </w:rPr>
              <w:t xml:space="preserve">Faire du dispositif de contrôle une condition à part entière</w:t>
            </w:r>
          </w:p>
        </w:tc>
        <w:tc>
          <w:tcPr>
            <w:tcW w:type="dxa" w:w="3826"/>
            <w:tcMar>
              <w:top w:type="dxa" w:w="60"/>
              <w:left w:type="dxa" w:w="100"/>
              <w:bottom w:type="dxa" w:w="60"/>
              <w:right w:type="dxa" w:w="100"/>
            </w:tcMar>
          </w:tcPr>
          <w:p>
            <w:r>
              <w:rPr>
                <w:b w:val="false"/>
                <w:bCs w:val="false"/>
                <w:i w:val="false"/>
                <w:iCs w:val="false"/>
                <w:sz w:val="19"/>
                <w:szCs w:val="19"/>
              </w:rPr>
              <w:t xml:space="preserve">Indicateurs et complétude des registres orientent l'attention et peuvent masquer l'inégalité (thèmes 4 et 6)</w:t>
            </w:r>
          </w:p>
        </w:tc>
      </w:tr>
    </w:tbl>
    <w:p>
      <w:pPr>
        <w:spacing w:after="200" w:before="60"/>
      </w:pPr>
      <w:r>
        <w:rPr>
          <w:i/>
          <w:iCs/>
          <w:color w:val="555555"/>
          <w:sz w:val="18"/>
          <w:szCs w:val="18"/>
        </w:rPr>
        <w:t xml:space="preserve">Source : mémo « Piste d'audit 3 — révision du cadre conceptuel » du projet QualiCode.</w:t>
      </w:r>
    </w:p>
    <w:p>
      <w:pPr>
        <w:keepNext/>
        <w:pageBreakBefore/>
        <w:spacing w:after="60" w:before="0" w:line="240" w:lineRule="auto"/>
        <w:jc w:val="center"/>
      </w:pPr>
      <w:r>
        <w:drawing>
          <wp:inline distT="0" distB="0" distL="0" distR="0">
            <wp:extent cx="4953000" cy="7581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953000" cy="7581900"/>
                    </a:xfrm>
                    <a:prstGeom prst="rect">
                      <a:avLst/>
                    </a:prstGeom>
                  </pic:spPr>
                </pic:pic>
              </a:graphicData>
            </a:graphic>
          </wp:inline>
        </w:drawing>
      </w:r>
    </w:p>
    <w:p>
      <w:pPr>
        <w:keepNext/>
        <w:spacing w:after="80" w:before="200"/>
      </w:pPr>
      <w:r>
        <w:rPr>
          <w:b/>
          <w:bCs/>
          <w:sz w:val="20"/>
          <w:szCs w:val="20"/>
        </w:rPr>
        <w:t xml:space="preserve">Figure 3. Cadre conceptuel révisé à la lumière des résultats</w:t>
      </w:r>
    </w:p>
    <w:p>
      <w:pPr>
        <w:spacing w:after="200" w:before="60"/>
      </w:pPr>
      <w:r>
        <w:rPr>
          <w:i/>
          <w:iCs/>
          <w:color w:val="555555"/>
          <w:sz w:val="18"/>
          <w:szCs w:val="18"/>
        </w:rPr>
        <w:t xml:space="preserve">Source : auteur, à partir de la figure 1, du tableau VIII et des observations.</w:t>
      </w:r>
    </w:p>
    <w:p>
      <w:pPr>
        <w:pStyle w:val="Heading2"/>
        <w:spacing w:after="120" w:before="220"/>
      </w:pPr>
      <w:r>
        <w:t xml:space="preserve">6.4. Forces et limites de l'étude</w:t>
      </w:r>
    </w:p>
    <w:p>
      <w:pPr>
        <w:spacing w:after="140"/>
        <w:jc w:val="both"/>
      </w:pPr>
      <w:r>
        <w:rPr>
          <w:i w:val="false"/>
          <w:iCs w:val="false"/>
          <w:sz w:val="22"/>
          <w:szCs w:val="22"/>
        </w:rPr>
        <w:t xml:space="preserve">Forces. L'échantillon couvre quinze des seize centres et chaque modalité du tableau II ; la puissance informationnelle</w:t>
      </w:r>
      <w:r>
        <w:rPr>
          <w:sz w:val="22"/>
          <w:szCs w:val="22"/>
        </w:rPr>
        <w:t xml:space="preserve"> [44]</w:t>
      </w:r>
      <w:r>
        <w:rPr>
          <w:i w:val="false"/>
          <w:iCs w:val="false"/>
          <w:sz w:val="22"/>
          <w:szCs w:val="22"/>
        </w:rPr>
        <w:t xml:space="preserve"> a été appréciée par dimension plutôt que par saturation</w:t>
      </w:r>
      <w:r>
        <w:rPr>
          <w:sz w:val="22"/>
          <w:szCs w:val="22"/>
        </w:rPr>
        <w:t xml:space="preserve"> [45]</w:t>
      </w:r>
      <w:r>
        <w:rPr>
          <w:i w:val="false"/>
          <w:iCs w:val="false"/>
          <w:sz w:val="22"/>
          <w:szCs w:val="22"/>
        </w:rPr>
        <w:t xml:space="preserve"> ; la fidélité du codage a été contrôlée (κ = 0,866 ; intra-codeur κ = 0,956) ; la rigueur répond aux critères retenus</w:t>
      </w:r>
      <w:r>
        <w:rPr>
          <w:sz w:val="22"/>
          <w:szCs w:val="22"/>
        </w:rPr>
        <w:t xml:space="preserve"> [46]</w:t>
      </w:r>
      <w:r>
        <w:rPr>
          <w:i w:val="false"/>
          <w:iCs w:val="false"/>
          <w:sz w:val="22"/>
          <w:szCs w:val="22"/>
        </w:rPr>
        <w:t xml:space="preserve"> et à la grille COREQ</w:t>
      </w:r>
      <w:r>
        <w:rPr>
          <w:sz w:val="22"/>
          <w:szCs w:val="22"/>
        </w:rPr>
        <w:t xml:space="preserve"> [47]</w:t>
      </w:r>
      <w:r>
        <w:rPr>
          <w:i w:val="false"/>
          <w:iCs w:val="false"/>
          <w:sz w:val="22"/>
          <w:szCs w:val="22"/>
        </w:rPr>
        <w:t xml:space="preserve">.</w:t>
      </w:r>
    </w:p>
    <w:p>
      <w:pPr>
        <w:spacing w:after="140"/>
        <w:jc w:val="both"/>
      </w:pPr>
      <w:r>
        <w:rPr>
          <w:i w:val="false"/>
          <w:iCs w:val="false"/>
          <w:sz w:val="22"/>
          <w:szCs w:val="22"/>
        </w:rPr>
        <w:t xml:space="preserve">Limites. Les résultats portent sur des pratiques déclarées et des représentations professionnelles ; le point de vue des femmes reste hors champ. L'observation est exposée à un effet de présence</w:t>
      </w:r>
      <w:r>
        <w:rPr>
          <w:sz w:val="22"/>
          <w:szCs w:val="22"/>
        </w:rPr>
        <w:t xml:space="preserve"> [79]</w:t>
      </w:r>
      <w:r>
        <w:rPr>
          <w:i w:val="false"/>
          <w:iCs w:val="false"/>
          <w:sz w:val="22"/>
          <w:szCs w:val="22"/>
        </w:rPr>
        <w:t xml:space="preserve">, les données de routine sont de qualité limitée</w:t>
      </w:r>
      <w:r>
        <w:rPr>
          <w:sz w:val="22"/>
          <w:szCs w:val="22"/>
        </w:rPr>
        <w:t xml:space="preserve"> [69]</w:t>
      </w:r>
      <w:r>
        <w:rPr>
          <w:i w:val="false"/>
          <w:iCs w:val="false"/>
          <w:sz w:val="22"/>
          <w:szCs w:val="22"/>
        </w:rPr>
        <w:t xml:space="preserve">, et l'étude, limitée à un district, ne se généralise pas. Les perspectives et suggestions sont présentées en conclusion.</w:t>
      </w:r>
    </w:p>
    <w:p>
      <w:pPr>
        <w:pStyle w:val="Heading2"/>
        <w:spacing w:after="120" w:before="220"/>
      </w:pPr>
      <w:r>
        <w:t xml:space="preserve">Références ajoutées pendant la rédaction (à vérifier, puis à intégrer à la bibliographie)</w:t>
      </w:r>
    </w:p>
    <w:p>
      <w:pPr>
        <w:spacing w:after="80"/>
        <w:ind w:left="567" w:hanging="567"/>
      </w:pPr>
      <w:r>
        <w:rPr>
          <w:sz w:val="20"/>
          <w:szCs w:val="20"/>
        </w:rPr>
        <w:t xml:space="preserve">72.	Niyonsenga SP, Park PH, Ngoga G, et al. Implementation outcomes of national decentralization of integrated outpatient services for severe non-communicable diseases to district hospitals in Rwanda. Trop Med Int Health. 2021;26(8):953-61.</w:t>
      </w:r>
    </w:p>
    <w:p>
      <w:pPr>
        <w:spacing w:after="80"/>
        <w:ind w:left="567" w:hanging="567"/>
      </w:pPr>
      <w:r>
        <w:rPr>
          <w:sz w:val="20"/>
          <w:szCs w:val="20"/>
        </w:rPr>
        <w:t xml:space="preserve">73.	Tudor Hart J. The inverse care law. Lancet. 1971;1(7696):405-12.</w:t>
      </w:r>
    </w:p>
    <w:p>
      <w:pPr>
        <w:spacing w:after="80"/>
        <w:ind w:left="567" w:hanging="567"/>
      </w:pPr>
      <w:r>
        <w:rPr>
          <w:sz w:val="20"/>
          <w:szCs w:val="20"/>
        </w:rPr>
        <w:t xml:space="preserve">74.	Nutbeam D. Health literacy as a public health goal: a challenge for contemporary health education and communication strategies into the 21st century. Health Promot Int. 2000;15(3):259-67.</w:t>
      </w:r>
    </w:p>
    <w:p>
      <w:pPr>
        <w:spacing w:after="80"/>
        <w:ind w:left="567" w:hanging="567"/>
      </w:pPr>
      <w:r>
        <w:rPr>
          <w:sz w:val="20"/>
          <w:szCs w:val="20"/>
        </w:rPr>
        <w:t xml:space="preserve">75.	Lipsky M. Street-level bureaucracy: dilemmas of the individual in public services. New York: Russell Sage Foundation; 1980.</w:t>
      </w:r>
    </w:p>
    <w:p>
      <w:pPr>
        <w:spacing w:after="80"/>
        <w:ind w:left="567" w:hanging="567"/>
      </w:pPr>
      <w:r>
        <w:rPr>
          <w:sz w:val="20"/>
          <w:szCs w:val="20"/>
        </w:rPr>
        <w:t xml:space="preserve">76.	Marmot M, Allen J, Goldblatt P, Boyce T, McNeish D, Grady M, et al. Fair society, healthy lives: the Marmot Review. London: The Marmot Review; 2010.</w:t>
      </w:r>
    </w:p>
    <w:p>
      <w:pPr>
        <w:spacing w:after="80"/>
        <w:ind w:left="567" w:hanging="567"/>
      </w:pPr>
      <w:r>
        <w:rPr>
          <w:sz w:val="20"/>
          <w:szCs w:val="20"/>
        </w:rPr>
        <w:t xml:space="preserve">77.	Campbell DT. Assessing the impact of planned social change. Eval Program Plann. 1979;2(1):67-90.</w:t>
      </w:r>
    </w:p>
    <w:p>
      <w:pPr>
        <w:spacing w:after="80"/>
        <w:ind w:left="567" w:hanging="567"/>
      </w:pPr>
      <w:r>
        <w:rPr>
          <w:sz w:val="20"/>
          <w:szCs w:val="20"/>
        </w:rPr>
        <w:t xml:space="preserve">78.	Rurangirwa AA, Mogren I, Ntaganira J, Govender K, Krantz G. Quality of antenatal care services in Rwanda: assessing practices of health care providers. BMC Health Serv Res. 2018;18(1):865.</w:t>
      </w:r>
    </w:p>
    <w:p>
      <w:pPr>
        <w:spacing w:after="80"/>
        <w:ind w:left="567" w:hanging="567"/>
      </w:pPr>
      <w:r>
        <w:rPr>
          <w:sz w:val="20"/>
          <w:szCs w:val="20"/>
        </w:rPr>
        <w:t xml:space="preserve">79.	McCambridge J, Witton J, Elbourne DR. Systematic review of the Hawthorne effect: new concepts are needed to study research participation effects. J Clin Epidemiol. 2014;67(3):267-77.</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7334F"/>
      <w:sz w:val="30"/>
      <w:szCs w:val="30"/>
    </w:rPr>
  </w:style>
  <w:style w:type="paragraph" w:styleId="Heading2">
    <w:name w:val="Heading 2"/>
    <w:basedOn w:val="Normal"/>
    <w:next w:val="Normal"/>
    <w:qFormat/>
    <w:pPr>
      <w:spacing w:after="120" w:before="26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e40417587858be9c3d68d7e0a4c432c66d474513.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2026-10-02T11:54:24.239Z</dcterms:created>
  <dcterms:modified xsi:type="dcterms:W3CDTF">2026-10-02T11:54:24.239Z</dcterms:modified>
</cp:coreProperties>
</file>

<file path=docProps/custom.xml><?xml version="1.0" encoding="utf-8"?>
<Properties xmlns="http://schemas.openxmlformats.org/officeDocument/2006/custom-properties" xmlns:vt="http://schemas.openxmlformats.org/officeDocument/2006/docPropsVTypes"/>
</file>