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100"/>
        <w:jc w:val="center"/>
        <w:rPr/>
      </w:pPr>
      <w:r>
        <w:rPr>
          <w:b/>
          <w:bCs/>
        </w:rPr>
        <w:t>UNIVERSITÉ DE PARAKOU — ENATSE</w:t>
      </w:r>
    </w:p>
    <w:p>
      <w:pPr>
        <w:pStyle w:val="Normal"/>
        <w:spacing w:before="0" w:after="300"/>
        <w:jc w:val="center"/>
        <w:rPr/>
      </w:pPr>
      <w:r>
        <w:rPr/>
        <w:t>Master en Santé publique — Promotion de la santé</w:t>
      </w:r>
    </w:p>
    <w:p>
      <w:pPr>
        <w:pStyle w:val="Normal"/>
        <w:spacing w:before="0" w:after="240"/>
        <w:jc w:val="center"/>
        <w:rPr/>
      </w:pPr>
      <w:r>
        <w:rPr>
          <w:i/>
          <w:iCs/>
        </w:rPr>
        <w:t>L'équité d'accès au dépistage capacitant de l'hypertension artérielle et du diabète en consultation prénatale : perceptions et pratiques déclarées des infirmiers et sages-femmes de Ngoma (Rwanda)</w:t>
      </w:r>
    </w:p>
    <w:p>
      <w:pPr>
        <w:pStyle w:val="Normal"/>
        <w:spacing w:before="200" w:after="200"/>
        <w:jc w:val="center"/>
        <w:rPr/>
      </w:pPr>
      <w:r>
        <w:rPr>
          <w:b/>
          <w:bCs/>
        </w:rPr>
        <w:t>Rapport de mémoire (rédaction d'exercice)</w:t>
      </w:r>
    </w:p>
    <w:p>
      <w:pPr>
        <w:pStyle w:val="Normal"/>
        <w:rPr/>
      </w:pPr>
      <w:r>
        <w:rPr/>
      </w:r>
    </w:p>
    <w:tbl>
      <w:tblPr>
        <w:tblW w:w="8787" w:type="dxa"/>
        <w:jc w:val="left"/>
        <w:tblInd w:w="0" w:type="dxa"/>
        <w:tblLayout w:type="fixed"/>
        <w:tblCellMar>
          <w:top w:w="140" w:type="dxa"/>
          <w:left w:w="160" w:type="dxa"/>
          <w:bottom w:w="140" w:type="dxa"/>
          <w:right w:w="160" w:type="dxa"/>
        </w:tblCellMar>
      </w:tblPr>
      <w:tblGrid>
        <w:gridCol w:w="8787"/>
      </w:tblGrid>
      <w:tr>
        <w:trPr/>
        <w:tc>
          <w:tcPr>
            <w:tcW w:w="8787" w:type="dxa"/>
            <w:tcBorders>
              <w:top w:val="single" w:sz="12" w:space="0" w:color="C0392B"/>
              <w:left w:val="single" w:sz="12" w:space="0" w:color="C0392B"/>
              <w:bottom w:val="single" w:sz="12" w:space="0" w:color="C0392B"/>
              <w:right w:val="single" w:sz="12" w:space="0" w:color="C0392B"/>
            </w:tcBorders>
            <w:shd w:color="auto" w:fill="FDEDEC" w:val="clear"/>
          </w:tcPr>
          <w:p>
            <w:pPr>
              <w:pStyle w:val="Normal"/>
              <w:spacing w:lineRule="auto" w:line="240" w:before="40" w:after="40"/>
              <w:jc w:val="left"/>
              <w:rPr>
                <w:sz w:val="22"/>
                <w:szCs w:val="22"/>
              </w:rPr>
            </w:pPr>
            <w:r>
              <w:rPr>
                <w:b/>
                <w:bCs/>
                <w:color w:val="C0392B"/>
                <w:sz w:val="22"/>
                <w:szCs w:val="22"/>
              </w:rPr>
              <w:t xml:space="preserve">⚠ </w:t>
            </w:r>
            <w:r>
              <w:rPr>
                <w:b/>
                <w:bCs/>
                <w:color w:val="C0392B"/>
                <w:sz w:val="22"/>
                <w:szCs w:val="22"/>
              </w:rPr>
              <w:t>DONNÉES ENTIÈREMENT SIMULÉES — EXERCICE DE FORMATION</w:t>
            </w:r>
          </w:p>
          <w:p>
            <w:pPr>
              <w:pStyle w:val="Normal"/>
              <w:spacing w:lineRule="auto" w:line="240" w:before="40" w:after="40"/>
              <w:jc w:val="left"/>
              <w:rPr>
                <w:sz w:val="22"/>
                <w:szCs w:val="22"/>
              </w:rPr>
            </w:pPr>
            <w:r>
              <w:rPr>
                <w:sz w:val="22"/>
                <w:szCs w:val="22"/>
              </w:rPr>
              <w:t>Aucun entretien n'a été conduit. Aucun centre de santé n'a été visité. Aucune des personnes décrites n'existe. Ce document sert exclusivement à apprendre à manipuler l'outil d'analyse avant la collecte réelle.</w:t>
            </w:r>
          </w:p>
          <w:p>
            <w:pPr>
              <w:pStyle w:val="Normal"/>
              <w:spacing w:lineRule="auto" w:line="240" w:before="40" w:after="40"/>
              <w:jc w:val="left"/>
              <w:rPr>
                <w:sz w:val="22"/>
                <w:szCs w:val="22"/>
              </w:rPr>
            </w:pPr>
            <w:r>
              <w:rPr>
                <w:b/>
                <w:bCs/>
                <w:sz w:val="22"/>
                <w:szCs w:val="22"/>
              </w:rPr>
              <w:t>Il ne peut être cité, ni figurer dans le mémoire, ni servir de résultat, ni être présenté à un comité d'éthique ou à un jury comme une donnée de terrain.</w:t>
            </w:r>
          </w:p>
        </w:tc>
      </w:tr>
    </w:tbl>
    <w:p>
      <w:pPr>
        <w:pStyle w:val="Normal"/>
        <w:rPr/>
      </w:pPr>
      <w:r>
        <w:rPr/>
      </w:r>
    </w:p>
    <w:p>
      <w:pPr>
        <w:pStyle w:val="Normal"/>
        <w:spacing w:before="0" w:after="80"/>
        <w:rPr/>
      </w:pPr>
      <w:r>
        <w:rPr/>
        <w:t>Synthèse du mémoire à l'intention des lecteurs qui ne liront pas le document entier : direction de mémoire, direction de la santé du district, responsables des centres participants.</w:t>
      </w:r>
    </w:p>
    <w:p>
      <w:pPr>
        <w:pStyle w:val="Normal"/>
        <w:spacing w:before="0" w:after="80"/>
        <w:rPr/>
      </w:pPr>
      <w:r>
        <w:rPr/>
      </w:r>
    </w:p>
    <w:p>
      <w:pPr>
        <w:pStyle w:val="Normal"/>
        <w:spacing w:before="0" w:after="80"/>
        <w:rPr/>
      </w:pPr>
      <w:r>
        <w:rPr/>
        <w:t>Les chiffres sont calculés à partir du projet d'analyse ; les thèmes, les citations et les recommandations sont ceux des chapitres 5 et 6. Les références sont numérotées dans l'ordre de leur première citation (Vancouver).</w:t>
      </w:r>
    </w:p>
    <w:p>
      <w:pPr>
        <w:pStyle w:val="Normal"/>
        <w:spacing w:before="0" w:after="80"/>
        <w:rPr/>
      </w:pPr>
      <w:r>
        <w:rPr/>
      </w:r>
    </w:p>
    <w:p>
      <w:pPr>
        <w:pStyle w:val="Normal"/>
        <w:spacing w:before="0" w:after="80"/>
        <w:rPr/>
      </w:pPr>
      <w:r>
        <w:rPr/>
        <w:t>Ce texte est un MODÈLE de forme, rédigé sur des données simulées. Le rapport réel portera sur les résultats réels et ne reprendra rien de celui-ci.</w:t>
      </w:r>
    </w:p>
    <w:p>
      <w:pPr>
        <w:pStyle w:val="Normal"/>
        <w:rPr/>
      </w:pPr>
      <w:r>
        <w:rPr/>
      </w:r>
    </w:p>
    <w:tbl>
      <w:tblPr>
        <w:tblW w:w="8787" w:type="dxa"/>
        <w:jc w:val="left"/>
        <w:tblInd w:w="0" w:type="dxa"/>
        <w:tblLayout w:type="fixed"/>
        <w:tblCellMar>
          <w:top w:w="60" w:type="dxa"/>
          <w:left w:w="100" w:type="dxa"/>
          <w:bottom w:w="60" w:type="dxa"/>
          <w:right w:w="100" w:type="dxa"/>
        </w:tblCellMar>
      </w:tblPr>
      <w:tblGrid>
        <w:gridCol w:w="2335"/>
        <w:gridCol w:w="6451"/>
      </w:tblGrid>
      <w:tr>
        <w:trPr/>
        <w:tc>
          <w:tcPr>
            <w:tcW w:w="233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Chercheur</w:t>
            </w:r>
          </w:p>
        </w:tc>
        <w:tc>
          <w:tcPr>
            <w:tcW w:w="64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MUKAKI DUNIA Jacques</w:t>
            </w:r>
          </w:p>
        </w:tc>
      </w:tr>
      <w:tr>
        <w:trPr/>
        <w:tc>
          <w:tcPr>
            <w:tcW w:w="233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Institution</w:t>
            </w:r>
          </w:p>
        </w:tc>
        <w:tc>
          <w:tcPr>
            <w:tcW w:w="64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ENATSE, Université de Parakou (Bénin) — Master en Santé publique, Promotion de la santé</w:t>
            </w:r>
          </w:p>
        </w:tc>
      </w:tr>
      <w:tr>
        <w:trPr/>
        <w:tc>
          <w:tcPr>
            <w:tcW w:w="233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Direction</w:t>
            </w:r>
          </w:p>
        </w:tc>
        <w:tc>
          <w:tcPr>
            <w:tcW w:w="64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Professeure N. Fanny M. HOUNKPONOU AHOUINGNAN</w:t>
            </w:r>
          </w:p>
        </w:tc>
      </w:tr>
      <w:tr>
        <w:trPr/>
        <w:tc>
          <w:tcPr>
            <w:tcW w:w="233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Période simulée</w:t>
            </w:r>
          </w:p>
        </w:tc>
        <w:tc>
          <w:tcPr>
            <w:tcW w:w="64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11 août – 30 septembre 2026 (période prévue au protocole, § 4.2.5.3)</w:t>
            </w:r>
          </w:p>
        </w:tc>
      </w:tr>
      <w:tr>
        <w:trPr/>
        <w:tc>
          <w:tcPr>
            <w:tcW w:w="233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Échantillon simulé</w:t>
            </w:r>
          </w:p>
        </w:tc>
        <w:tc>
          <w:tcPr>
            <w:tcW w:w="6451"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10 infirmiers ou infirmières et 10 sages-femmes, 15 centres de santé, en deux vagues</w:t>
            </w:r>
          </w:p>
        </w:tc>
      </w:tr>
    </w:tbl>
    <w:p>
      <w:pPr>
        <w:pStyle w:val="Normal"/>
        <w:rPr/>
      </w:pPr>
      <w:r>
        <w:rPr/>
      </w:r>
      <w:r>
        <w:br w:type="page"/>
      </w:r>
    </w:p>
    <w:p>
      <w:pPr>
        <w:pStyle w:val="Heading1"/>
        <w:spacing w:before="0" w:after="160"/>
        <w:rPr/>
      </w:pPr>
      <w:r>
        <w:rPr/>
        <w:t>MESSAGES CLÉS</w:t>
      </w:r>
    </w:p>
    <w:p>
      <w:pPr>
        <w:pStyle w:val="ListParagraph"/>
        <w:numPr>
          <w:ilvl w:val="0"/>
          <w:numId w:val="3"/>
        </w:numPr>
        <w:spacing w:before="0" w:after="80"/>
        <w:jc w:val="both"/>
        <w:rPr/>
      </w:pPr>
      <w:r>
        <w:rPr>
          <w:i w:val="false"/>
          <w:iCs w:val="false"/>
        </w:rPr>
        <w:t>Le dépistage est coupé en deux. La tension est mesurée en CPN ; la glycémie se fait au laboratoire ou à la consultation des maladies chroniques. Aucun des 15 centres n'avait de glucomètre en salle de CPN, et la glycémie n'était accessible à la femme enceinte que dans 5 d'entre eux — sur des signes d'appel seulement, et à ses frais, car le test ne figure pas dans le paquet de soins de la CPN.</w:t>
      </w:r>
    </w:p>
    <w:p>
      <w:pPr>
        <w:pStyle w:val="ListParagraph"/>
        <w:numPr>
          <w:ilvl w:val="0"/>
          <w:numId w:val="1"/>
        </w:numPr>
        <w:spacing w:before="0" w:after="80"/>
        <w:jc w:val="both"/>
        <w:rPr/>
      </w:pPr>
      <w:r>
        <w:rPr>
          <w:i w:val="false"/>
          <w:iCs w:val="false"/>
        </w:rPr>
        <w:t>L'explication — la part du dépistage qui permet à la femme d'agir — se raccourcit pour celles qui arrivent tard, posent peu de questions ou n'ont pas d'autre source d'information : elle est distribuée à l'inverse des besoins.</w:t>
      </w:r>
    </w:p>
    <w:p>
      <w:pPr>
        <w:pStyle w:val="ListParagraph"/>
        <w:numPr>
          <w:ilvl w:val="0"/>
          <w:numId w:val="1"/>
        </w:numPr>
        <w:spacing w:before="0" w:after="80"/>
        <w:jc w:val="both"/>
        <w:rPr/>
      </w:pPr>
      <w:r>
        <w:rPr>
          <w:i w:val="false"/>
          <w:iCs w:val="false"/>
        </w:rPr>
        <w:t>Le dépistage ne figure dans aucun indicateur de la CPN : ses intrants ne sont pas suivis, ses appareils pas réparés, ses actes pas supervisés. Le contrôle porte sur la complétude du registre, qui peut masquer l'inégalité.</w:t>
      </w:r>
    </w:p>
    <w:p>
      <w:pPr>
        <w:pStyle w:val="ListParagraph"/>
        <w:numPr>
          <w:ilvl w:val="0"/>
          <w:numId w:val="1"/>
        </w:numPr>
        <w:spacing w:before="0" w:after="80"/>
        <w:jc w:val="both"/>
        <w:rPr/>
      </w:pPr>
      <w:r>
        <w:rPr>
          <w:i w:val="false"/>
          <w:iCs w:val="false"/>
        </w:rPr>
        <w:t>La référence dépend d'un véhicule et revient rarement ; le suivi s'interrompt à l'accouchement.</w:t>
      </w:r>
    </w:p>
    <w:p>
      <w:pPr>
        <w:pStyle w:val="ListParagraph"/>
        <w:numPr>
          <w:ilvl w:val="0"/>
          <w:numId w:val="1"/>
        </w:numPr>
        <w:spacing w:before="0" w:after="80"/>
        <w:jc w:val="both"/>
        <w:rPr/>
      </w:pPr>
      <w:r>
        <w:rPr>
          <w:i w:val="false"/>
          <w:iCs w:val="false"/>
        </w:rPr>
        <w:t>Les participants jugent ces différences inacceptables, reconnaissent une part qui leur revient et proposent des changements concrets : un circuit de la CPN vers le laboratoire, une ligne dans le rapport mensuel, un support visuel commun.</w:t>
      </w:r>
    </w:p>
    <w:p>
      <w:pPr>
        <w:pStyle w:val="Heading1"/>
        <w:spacing w:before="280" w:after="160"/>
        <w:rPr/>
      </w:pPr>
      <w:r>
        <w:rPr/>
        <w:t>1. CONTEXTE ET JUSTIFICATION</w:t>
      </w:r>
    </w:p>
    <w:p>
      <w:pPr>
        <w:pStyle w:val="Normal"/>
        <w:spacing w:before="0" w:after="140"/>
        <w:jc w:val="both"/>
        <w:rPr/>
      </w:pPr>
      <w:r>
        <w:rPr>
          <w:i w:val="false"/>
          <w:iCs w:val="false"/>
        </w:rPr>
        <w:t>L'hypertension artérielle et le diabète de la grossesse exposent la mère et l'enfant à des complications évitables, à condition d'être détectés et pris en charge à temps. La consultation prénatale est le contact le plus régulier entre une femme jeune et un professionnel qualifié ; l'Organisation mondiale de la Santé y recommande la mesure systématique de la pression artérielle et un dépistage du diabète orienté par les facteurs de risque</w:t>
      </w:r>
      <w:r>
        <w:rPr/>
        <w:t xml:space="preserve"> [1]</w:t>
      </w:r>
      <w:r>
        <w:rPr>
          <w:i w:val="false"/>
          <w:iCs w:val="false"/>
        </w:rPr>
        <w:t>. Le Rwanda a adopté le paquet d'interventions essentielles de l'OMS contre les maladies non transmissibles</w:t>
      </w:r>
      <w:r>
        <w:rPr/>
        <w:t xml:space="preserve"> [2]</w:t>
      </w:r>
      <w:r>
        <w:rPr>
          <w:i w:val="false"/>
          <w:iCs w:val="false"/>
        </w:rPr>
        <w:t>.</w:t>
      </w:r>
    </w:p>
    <w:p>
      <w:pPr>
        <w:pStyle w:val="Normal"/>
        <w:spacing w:before="0" w:after="140"/>
        <w:jc w:val="both"/>
        <w:rPr/>
      </w:pPr>
      <w:r>
        <w:rPr>
          <w:i w:val="false"/>
          <w:iCs w:val="false"/>
        </w:rPr>
        <w:t>Les données nationales montrent l'écart entre ces recommandations et la pratique. Selon l'enquête STEPS de 2022, 87,0 % des femmes n'avaient jamais eu de mesure de la glycémie, contre 38 % qui n'avaient jamais eu de mesure de la tension</w:t>
      </w:r>
      <w:r>
        <w:rPr/>
        <w:t xml:space="preserve"> [3]</w:t>
      </w:r>
      <w:r>
        <w:rPr>
          <w:i w:val="false"/>
          <w:iCs w:val="false"/>
        </w:rPr>
        <w:t>. Le dépistage du diabète gestationnel n'est pas systématique ; le protocole national de 2012 prévoit une glycémie capillaire à jeun et une épreuve de charge entre 24 et 28 semaines, et la seule estimation de prévalence en centre de santé public, 3,2 %, provient d'une étude de recherche</w:t>
      </w:r>
      <w:r>
        <w:rPr/>
        <w:t xml:space="preserve"> [4]</w:t>
      </w:r>
      <w:r>
        <w:rPr>
          <w:i w:val="false"/>
          <w:iCs w:val="false"/>
        </w:rPr>
        <w:t>.</w:t>
      </w:r>
    </w:p>
    <w:p>
      <w:pPr>
        <w:pStyle w:val="Normal"/>
        <w:spacing w:before="0" w:after="140"/>
        <w:jc w:val="both"/>
        <w:rPr/>
      </w:pPr>
      <w:r>
        <w:rPr>
          <w:i w:val="false"/>
          <w:iCs w:val="false"/>
        </w:rPr>
        <w:t>Au regard de la Charte d'Ottawa</w:t>
      </w:r>
      <w:r>
        <w:rPr/>
        <w:t xml:space="preserve"> [5]</w:t>
      </w:r>
      <w:r>
        <w:rPr>
          <w:i w:val="false"/>
          <w:iCs w:val="false"/>
        </w:rPr>
        <w:t>, intégrer ce dépistage à la CPN est une réorientation des services, dont la portée dépend de ceux qui la réalisent : un dépistage n'est capacitant que si son résultat est expliqué et compris. L'étude s'intéresse donc aux infirmiers et sages-femmes de CPN, et à la manière dont ce dépistage se distribue entre les femmes.</w:t>
      </w:r>
    </w:p>
    <w:p>
      <w:pPr>
        <w:pStyle w:val="Heading1"/>
        <w:spacing w:before="280" w:after="160"/>
        <w:rPr/>
      </w:pPr>
      <w:r>
        <w:rPr/>
        <w:t>2. OBJECTIFS</w:t>
      </w:r>
    </w:p>
    <w:p>
      <w:pPr>
        <w:pStyle w:val="Normal"/>
        <w:spacing w:before="0" w:after="140"/>
        <w:jc w:val="both"/>
        <w:rPr/>
      </w:pPr>
      <w:r>
        <w:rPr>
          <w:i w:val="false"/>
          <w:iCs w:val="false"/>
        </w:rPr>
        <w:t>Objectif général. Analyser les perceptions et les pratiques déclarées des infirmiers et sages-femmes exerçant en consultation prénatale dans les centres de santé du district de Ngoma (Rwanda) à l'égard du dépistage de l'hypertension artérielle et du diabète chez la femme enceinte, et la portée qu'ils reconnaissent en matière d'équité d'accès au dépistage.</w:t>
      </w:r>
    </w:p>
    <w:p>
      <w:pPr>
        <w:pStyle w:val="ListParagraph"/>
        <w:numPr>
          <w:ilvl w:val="0"/>
          <w:numId w:val="1"/>
        </w:numPr>
        <w:spacing w:before="0" w:after="80"/>
        <w:jc w:val="both"/>
        <w:rPr/>
      </w:pPr>
      <w:r>
        <w:rPr>
          <w:i w:val="false"/>
          <w:iCs w:val="false"/>
        </w:rPr>
        <w:t>Objectif spécifique 1 (OS1) : décrire le sens attribué à ce dépistage ainsi que les pratiques déclarées de dépistage et d'information capacitante auprès des femmes enceintes.</w:t>
      </w:r>
    </w:p>
    <w:p>
      <w:pPr>
        <w:pStyle w:val="ListParagraph"/>
        <w:numPr>
          <w:ilvl w:val="0"/>
          <w:numId w:val="1"/>
        </w:numPr>
        <w:spacing w:before="0" w:after="80"/>
        <w:jc w:val="both"/>
        <w:rPr/>
      </w:pPr>
      <w:r>
        <w:rPr>
          <w:i w:val="false"/>
          <w:iCs w:val="false"/>
        </w:rPr>
        <w:t>Objectif spécifique 2 (OS2) : examiner les conditions individuelles, organisationnelles, systémiques et sociales perçues comme facilitant ou limitant ce dépistage, la portée reconnue en équité et les changements jugés nécessaires.</w:t>
      </w:r>
    </w:p>
    <w:p>
      <w:pPr>
        <w:pStyle w:val="Heading1"/>
        <w:spacing w:before="280" w:after="160"/>
        <w:rPr/>
      </w:pPr>
      <w:r>
        <w:rPr/>
        <w:t>3. MÉTHODES</w:t>
      </w:r>
    </w:p>
    <w:p>
      <w:pPr>
        <w:pStyle w:val="Normal"/>
        <w:keepNext w:val="true"/>
        <w:spacing w:before="200" w:after="80"/>
        <w:rPr>
          <w:sz w:val="24"/>
          <w:szCs w:val="24"/>
        </w:rPr>
      </w:pPr>
      <w:r>
        <w:rPr>
          <w:b/>
          <w:bCs/>
          <w:sz w:val="24"/>
          <w:szCs w:val="24"/>
        </w:rPr>
        <w:t>Tableau 1. Méthodes en bref</w:t>
      </w:r>
    </w:p>
    <w:tbl>
      <w:tblPr>
        <w:tblW w:w="8787" w:type="dxa"/>
        <w:jc w:val="left"/>
        <w:tblInd w:w="0" w:type="dxa"/>
        <w:tblLayout w:type="fixed"/>
        <w:tblCellMar>
          <w:top w:w="60" w:type="dxa"/>
          <w:left w:w="100" w:type="dxa"/>
          <w:bottom w:w="60" w:type="dxa"/>
          <w:right w:w="100" w:type="dxa"/>
        </w:tblCellMar>
      </w:tblPr>
      <w:tblGrid>
        <w:gridCol w:w="2142"/>
        <w:gridCol w:w="6644"/>
      </w:tblGrid>
      <w:tr>
        <w:trPr>
          <w:tblHeader w:val="true"/>
        </w:trPr>
        <w:tc>
          <w:tcPr>
            <w:tcW w:w="2142"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Élément</w:t>
            </w:r>
          </w:p>
        </w:tc>
        <w:tc>
          <w:tcPr>
            <w:tcW w:w="6644"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Description</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Type d'étude</w:t>
            </w:r>
          </w:p>
        </w:tc>
        <w:tc>
          <w:tcPr>
            <w:tcW w:w="66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Qualitative descriptive</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Cadre</w:t>
            </w:r>
          </w:p>
        </w:tc>
        <w:tc>
          <w:tcPr>
            <w:tcW w:w="66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District de Ngoma (Province de l'Est) : 15 des 16 centres de santé, le seizième ayant servi au pré-test</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Participants</w:t>
            </w:r>
          </w:p>
        </w:tc>
        <w:tc>
          <w:tcPr>
            <w:tcW w:w="66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Vingt prestataires de CPN (10 infirmiers ou infirmières, 10 sages-femmes, dont 5 titulaires), échantillonnage à variation maximale</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Collecte</w:t>
            </w:r>
          </w:p>
        </w:tc>
        <w:tc>
          <w:tcPr>
            <w:tcW w:w="66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Entretiens semi-structurés (38 à 61 minutes) ; observation non participante d'une demi-journée par centre, service de CPN et laboratoire ; données de routine du district</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Analyse</w:t>
            </w:r>
          </w:p>
        </w:tc>
        <w:tc>
          <w:tcPr>
            <w:tcW w:w="66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Analyse thématique en six phases, codage hybride (déductif à partir du cadre conceptuel, inductif)</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Rigueur</w:t>
            </w:r>
          </w:p>
        </w:tc>
        <w:tc>
          <w:tcPr>
            <w:tcW w:w="66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Double codage indépendant (κ = 0,866) et recodage intra-codeur (κ = 0,956) ; triangulation des sources ; retour des interprétations à des participants volontaires ; grille COREQ</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Éthique</w:t>
            </w:r>
          </w:p>
        </w:tc>
        <w:tc>
          <w:tcPr>
            <w:tcW w:w="664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Consentement écrit ; accords distincts pour l'enregistrement et la citation ; codes de participant et de centre jamais associés ; approbation éthique et autorisation du district [références à compléter]</w:t>
            </w:r>
          </w:p>
        </w:tc>
      </w:tr>
    </w:tbl>
    <w:p>
      <w:pPr>
        <w:pStyle w:val="Normal"/>
        <w:spacing w:before="60" w:after="200"/>
        <w:rPr>
          <w:sz w:val="22"/>
          <w:szCs w:val="22"/>
        </w:rPr>
      </w:pPr>
      <w:r>
        <w:rPr>
          <w:i/>
          <w:iCs/>
          <w:sz w:val="22"/>
          <w:szCs w:val="22"/>
        </w:rPr>
        <w:t>Source : chapitre 4 du mémoire.</w:t>
      </w:r>
    </w:p>
    <w:p>
      <w:pPr>
        <w:pStyle w:val="Heading1"/>
        <w:spacing w:before="280" w:after="160"/>
        <w:rPr/>
      </w:pPr>
      <w:r>
        <w:rPr/>
        <w:t>4. PRINCIPAUX RÉSULTATS</w:t>
      </w:r>
    </w:p>
    <w:p>
      <w:pPr>
        <w:pStyle w:val="Heading2"/>
        <w:spacing w:before="220" w:after="120"/>
        <w:rPr/>
      </w:pPr>
      <w:r>
        <w:rPr/>
        <w:t>4.1. Le glucomètre est au laboratoire, pas en CPN</w:t>
      </w:r>
    </w:p>
    <w:p>
      <w:pPr>
        <w:pStyle w:val="Normal"/>
        <w:spacing w:before="0" w:after="140"/>
        <w:jc w:val="both"/>
        <w:rPr/>
      </w:pPr>
      <w:r>
        <w:rPr>
          <w:i w:val="false"/>
          <w:iCs w:val="false"/>
        </w:rPr>
        <w:t>Le jour de l'observation, le tensiomètre était présent en salle de CPN dans les 15 centres. La glycémie, elle, relevait d'un autre service (tableau 2).</w:t>
      </w:r>
    </w:p>
    <w:p>
      <w:pPr>
        <w:pStyle w:val="Normal"/>
        <w:keepNext w:val="true"/>
        <w:spacing w:before="200" w:after="80"/>
        <w:rPr>
          <w:sz w:val="24"/>
          <w:szCs w:val="24"/>
        </w:rPr>
      </w:pPr>
      <w:r>
        <w:rPr>
          <w:b/>
          <w:bCs/>
          <w:sz w:val="24"/>
          <w:szCs w:val="24"/>
        </w:rPr>
        <w:t>Tableau 2. Accès de la femme enceinte à la glycémie, le jour de l'observation</w:t>
      </w:r>
    </w:p>
    <w:tbl>
      <w:tblPr>
        <w:tblW w:w="8787" w:type="dxa"/>
        <w:jc w:val="left"/>
        <w:tblInd w:w="0" w:type="dxa"/>
        <w:tblLayout w:type="fixed"/>
        <w:tblCellMar>
          <w:top w:w="60" w:type="dxa"/>
          <w:left w:w="100" w:type="dxa"/>
          <w:bottom w:w="60" w:type="dxa"/>
          <w:right w:w="100" w:type="dxa"/>
        </w:tblCellMar>
      </w:tblPr>
      <w:tblGrid>
        <w:gridCol w:w="6839"/>
        <w:gridCol w:w="1947"/>
      </w:tblGrid>
      <w:tr>
        <w:trPr>
          <w:tblHeader w:val="true"/>
        </w:trPr>
        <w:tc>
          <w:tcPr>
            <w:tcW w:w="6839"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Situation observée</w:t>
            </w:r>
          </w:p>
        </w:tc>
        <w:tc>
          <w:tcPr>
            <w:tcW w:w="1947"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Centres</w:t>
            </w:r>
          </w:p>
        </w:tc>
      </w:tr>
      <w:tr>
        <w:trPr/>
        <w:tc>
          <w:tcPr>
            <w:tcW w:w="68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Glucomètre en salle de CPN</w:t>
            </w:r>
          </w:p>
        </w:tc>
        <w:tc>
          <w:tcPr>
            <w:tcW w:w="19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0</w:t>
            </w:r>
          </w:p>
        </w:tc>
      </w:tr>
      <w:tr>
        <w:trPr/>
        <w:tc>
          <w:tcPr>
            <w:tcW w:w="68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Glycémie réalisable au laboratoire, sur bon de la CPN</w:t>
            </w:r>
          </w:p>
        </w:tc>
        <w:tc>
          <w:tcPr>
            <w:tcW w:w="19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5</w:t>
            </w:r>
          </w:p>
        </w:tc>
      </w:tr>
      <w:tr>
        <w:trPr/>
        <w:tc>
          <w:tcPr>
            <w:tcW w:w="68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 xml:space="preserve">   </w:t>
            </w:r>
            <w:r>
              <w:rPr>
                <w:b w:val="false"/>
                <w:bCs w:val="false"/>
                <w:i w:val="false"/>
                <w:iCs w:val="false"/>
                <w:sz w:val="22"/>
                <w:szCs w:val="22"/>
              </w:rPr>
              <w:t>dont test payé par la femme (hors paquet de la CPN)</w:t>
            </w:r>
          </w:p>
        </w:tc>
        <w:tc>
          <w:tcPr>
            <w:tcW w:w="19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5</w:t>
            </w:r>
          </w:p>
        </w:tc>
      </w:tr>
      <w:tr>
        <w:trPr/>
        <w:tc>
          <w:tcPr>
            <w:tcW w:w="68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Glucomètre et bandelettes réservés à la consultation des maladies chroniques</w:t>
            </w:r>
          </w:p>
        </w:tc>
        <w:tc>
          <w:tcPr>
            <w:tcW w:w="19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3</w:t>
            </w:r>
          </w:p>
        </w:tc>
      </w:tr>
      <w:tr>
        <w:trPr/>
        <w:tc>
          <w:tcPr>
            <w:tcW w:w="68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Glycémie impossible : appareil en panne, bandelettes absentes ou périmées</w:t>
            </w:r>
          </w:p>
        </w:tc>
        <w:tc>
          <w:tcPr>
            <w:tcW w:w="19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6</w:t>
            </w:r>
          </w:p>
        </w:tc>
      </w:tr>
      <w:tr>
        <w:trPr/>
        <w:tc>
          <w:tcPr>
            <w:tcW w:w="68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Pas de glucomètre dans le centre</w:t>
            </w:r>
          </w:p>
        </w:tc>
        <w:tc>
          <w:tcPr>
            <w:tcW w:w="19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1</w:t>
            </w:r>
          </w:p>
        </w:tc>
      </w:tr>
      <w:tr>
        <w:trPr/>
        <w:tc>
          <w:tcPr>
            <w:tcW w:w="6839"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Total</w:t>
            </w:r>
          </w:p>
        </w:tc>
        <w:tc>
          <w:tcPr>
            <w:tcW w:w="1947"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15</w:t>
            </w:r>
          </w:p>
        </w:tc>
      </w:tr>
    </w:tbl>
    <w:p>
      <w:pPr>
        <w:pStyle w:val="Normal"/>
        <w:spacing w:before="60" w:after="200"/>
        <w:rPr>
          <w:sz w:val="22"/>
          <w:szCs w:val="22"/>
        </w:rPr>
      </w:pPr>
      <w:r>
        <w:rPr>
          <w:i/>
          <w:iCs/>
          <w:sz w:val="22"/>
          <w:szCs w:val="22"/>
        </w:rPr>
        <w:t>Source : observation non participante des services de CPN et des laboratoires.</w:t>
      </w:r>
    </w:p>
    <w:p>
      <w:pPr>
        <w:pStyle w:val="Normal"/>
        <w:spacing w:lineRule="auto" w:line="240" w:before="60" w:after="40"/>
        <w:ind w:left="567" w:right="567"/>
        <w:jc w:val="both"/>
        <w:rPr>
          <w:sz w:val="24"/>
          <w:szCs w:val="24"/>
        </w:rPr>
      </w:pPr>
      <w:r>
        <w:rPr>
          <w:i/>
          <w:iCs/>
          <w:sz w:val="24"/>
          <w:szCs w:val="24"/>
        </w:rPr>
        <w:t>« Le sucre, il y a un appareil au laboratoire, pour les malades chroniques. Pour les femmes enceintes, on ne l'a jamais fait. Jamais. »</w:t>
      </w:r>
    </w:p>
    <w:p>
      <w:pPr>
        <w:pStyle w:val="Normal"/>
        <w:spacing w:lineRule="auto" w:line="240" w:before="0" w:after="160"/>
        <w:ind w:left="567" w:right="567"/>
        <w:jc w:val="right"/>
        <w:rPr>
          <w:sz w:val="24"/>
          <w:szCs w:val="24"/>
        </w:rPr>
      </w:pPr>
      <w:r>
        <w:rPr>
          <w:sz w:val="24"/>
          <w:szCs w:val="24"/>
        </w:rPr>
        <w:t>(P20, infirmier — traduit du kinyarwanda)</w:t>
      </w:r>
    </w:p>
    <w:p>
      <w:pPr>
        <w:pStyle w:val="Normal"/>
        <w:spacing w:before="0" w:after="140"/>
        <w:jc w:val="both"/>
        <w:rPr/>
      </w:pPr>
      <w:r>
        <w:rPr>
          <w:i w:val="false"/>
          <w:iCs w:val="false"/>
        </w:rPr>
        <w:t>Là où la glycémie est possible, elle reste doublement sélective : le bon n'est rédigé que pour les femmes présentant un signe d'appel ou un facteur de risque, et le test, absent du paquet de soins de la CPN, est payé par la femme au laboratoire. Celles qui n'ont pas l'argent le jour même repartent sans l'avoir fait.</w:t>
      </w:r>
    </w:p>
    <w:p>
      <w:pPr>
        <w:pStyle w:val="Normal"/>
        <w:spacing w:lineRule="auto" w:line="240" w:before="60" w:after="40"/>
        <w:ind w:left="567" w:right="567"/>
        <w:jc w:val="both"/>
        <w:rPr>
          <w:sz w:val="24"/>
          <w:szCs w:val="24"/>
        </w:rPr>
      </w:pPr>
      <w:r>
        <w:rPr>
          <w:i/>
          <w:iCs/>
          <w:sz w:val="24"/>
          <w:szCs w:val="24"/>
        </w:rPr>
        <w:t>« Le test n'est pas dans le paquet de la CPN : au laboratoire, elle doit le payer. Celle qui n'a pas l'argent ce jour-là repart avec le bon dans son carnet, et pour ça, souvent, elle ne revient pas. »</w:t>
      </w:r>
    </w:p>
    <w:p>
      <w:pPr>
        <w:pStyle w:val="Normal"/>
        <w:spacing w:lineRule="auto" w:line="240" w:before="0" w:after="160"/>
        <w:ind w:left="567" w:right="567"/>
        <w:jc w:val="right"/>
        <w:rPr>
          <w:sz w:val="24"/>
          <w:szCs w:val="24"/>
        </w:rPr>
      </w:pPr>
      <w:r>
        <w:rPr>
          <w:sz w:val="24"/>
          <w:szCs w:val="24"/>
        </w:rPr>
        <w:t>(P01, infirmier — traduit du kinyarwanda)</w:t>
      </w:r>
    </w:p>
    <w:p>
      <w:pPr>
        <w:pStyle w:val="Heading2"/>
        <w:spacing w:before="220" w:after="120"/>
        <w:rPr/>
      </w:pPr>
      <w:r>
        <w:rPr/>
        <w:t>4.2. Sept thèmes</w:t>
      </w:r>
    </w:p>
    <w:p>
      <w:pPr>
        <w:pStyle w:val="Normal"/>
        <w:spacing w:before="0" w:after="140"/>
        <w:jc w:val="both"/>
        <w:rPr/>
      </w:pPr>
      <w:r>
        <w:rPr>
          <w:i w:val="false"/>
          <w:iCs w:val="false"/>
        </w:rPr>
        <w:t>L'analyse a dégagé sept thèmes, dont deux répondent au premier objectif et cinq au second (tableau 3).</w:t>
      </w:r>
    </w:p>
    <w:p>
      <w:pPr>
        <w:pStyle w:val="Normal"/>
        <w:keepNext w:val="true"/>
        <w:spacing w:before="200" w:after="80"/>
        <w:rPr>
          <w:sz w:val="24"/>
          <w:szCs w:val="24"/>
        </w:rPr>
      </w:pPr>
      <w:r>
        <w:rPr>
          <w:b/>
          <w:bCs/>
          <w:sz w:val="24"/>
          <w:szCs w:val="24"/>
        </w:rPr>
        <w:t>Tableau 3. Synthèse des thèmes</w:t>
      </w:r>
    </w:p>
    <w:tbl>
      <w:tblPr>
        <w:tblW w:w="8787" w:type="dxa"/>
        <w:jc w:val="left"/>
        <w:tblInd w:w="0" w:type="dxa"/>
        <w:tblLayout w:type="fixed"/>
        <w:tblCellMar>
          <w:top w:w="60" w:type="dxa"/>
          <w:left w:w="100" w:type="dxa"/>
          <w:bottom w:w="60" w:type="dxa"/>
          <w:right w:w="100" w:type="dxa"/>
        </w:tblCellMar>
      </w:tblPr>
      <w:tblGrid>
        <w:gridCol w:w="2920"/>
        <w:gridCol w:w="1363"/>
        <w:gridCol w:w="4504"/>
      </w:tblGrid>
      <w:tr>
        <w:trPr>
          <w:tblHeader w:val="true"/>
        </w:trPr>
        <w:tc>
          <w:tcPr>
            <w:tcW w:w="2920"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Thème</w:t>
            </w:r>
          </w:p>
        </w:tc>
        <w:tc>
          <w:tcPr>
            <w:tcW w:w="1363"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Objectif</w:t>
            </w:r>
          </w:p>
        </w:tc>
        <w:tc>
          <w:tcPr>
            <w:tcW w:w="4504"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Énoncé</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T1. Un dépistage coupé en deux</w:t>
            </w:r>
          </w:p>
        </w:tc>
        <w:tc>
          <w:tcPr>
            <w:tcW w:w="13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OS1</w:t>
            </w:r>
          </w:p>
        </w:tc>
        <w:tc>
          <w:tcPr>
            <w:tcW w:w="4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La tension est intégrée à la CPN ; la glycémie, demandée sur des signes d'appel, se fait au laboratoire ou à la consultation des maladies chroniques, aux frais de la femme, et cesse d'être pensée là où ce circuit est fermé à la femme enceinte.</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T2. Expliquer moins à celles qui savent le moins</w:t>
            </w:r>
          </w:p>
        </w:tc>
        <w:tc>
          <w:tcPr>
            <w:tcW w:w="13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OS1</w:t>
            </w:r>
          </w:p>
        </w:tc>
        <w:tc>
          <w:tcPr>
            <w:tcW w:w="4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L'explication varie avec l'heure, la charge et l'idée que l'on se fait de la femme, à l'inverse des besoins.</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T3. Trouver sans pouvoir suivre</w:t>
            </w:r>
          </w:p>
        </w:tc>
        <w:tc>
          <w:tcPr>
            <w:tcW w:w="13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OS2</w:t>
            </w:r>
          </w:p>
        </w:tc>
        <w:tc>
          <w:tcPr>
            <w:tcW w:w="4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La détection ne devient prise en charge que si la référence aboutit et si l'information revient.</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T4. Ce qui est compté existe</w:t>
            </w:r>
          </w:p>
        </w:tc>
        <w:tc>
          <w:tcPr>
            <w:tcW w:w="13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OS2</w:t>
            </w:r>
          </w:p>
        </w:tc>
        <w:tc>
          <w:tcPr>
            <w:tcW w:w="4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Intrants, maintenance et attention suivent les indicateurs ; le dépistage n'en fait pas partie.</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T5. Ce que change la dotation, et ce qu'elle ne change pas</w:t>
            </w:r>
          </w:p>
        </w:tc>
        <w:tc>
          <w:tcPr>
            <w:tcW w:w="13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OS2</w:t>
            </w:r>
          </w:p>
        </w:tc>
        <w:tc>
          <w:tcPr>
            <w:tcW w:w="4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L'équipement réduit l'inégalité du test, mais ni celle du coût ni celle de l'explication.</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T6. Le registre comme écran</w:t>
            </w:r>
          </w:p>
        </w:tc>
        <w:tc>
          <w:tcPr>
            <w:tcW w:w="13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OS2, équité</w:t>
            </w:r>
          </w:p>
        </w:tc>
        <w:tc>
          <w:tcPr>
            <w:tcW w:w="4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Un contrôle de complétude produit de la complétude et peut masquer l'inégalité.</w:t>
            </w:r>
          </w:p>
        </w:tc>
      </w:tr>
      <w:tr>
        <w:trPr/>
        <w:tc>
          <w:tcPr>
            <w:tcW w:w="29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T7. Le dépistage hors des murs</w:t>
            </w:r>
          </w:p>
        </w:tc>
        <w:tc>
          <w:tcPr>
            <w:tcW w:w="13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OS2, transformations</w:t>
            </w:r>
          </w:p>
        </w:tc>
        <w:tc>
          <w:tcPr>
            <w:tcW w:w="4504"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Relais communautaires et initiatives locales prolongent le dépistage ; ils reposent sur une personne.</w:t>
            </w:r>
          </w:p>
        </w:tc>
      </w:tr>
    </w:tbl>
    <w:p>
      <w:pPr>
        <w:pStyle w:val="Normal"/>
        <w:spacing w:before="60" w:after="200"/>
        <w:rPr>
          <w:sz w:val="22"/>
          <w:szCs w:val="22"/>
        </w:rPr>
      </w:pPr>
      <w:r>
        <w:rPr>
          <w:i/>
          <w:iCs/>
          <w:sz w:val="22"/>
          <w:szCs w:val="22"/>
        </w:rPr>
        <w:t>Source : chapitre 5 du mémoire.</w:t>
      </w:r>
    </w:p>
    <w:p>
      <w:pPr>
        <w:pStyle w:val="Heading2"/>
        <w:spacing w:before="220" w:after="120"/>
        <w:rPr/>
      </w:pPr>
      <w:r>
        <w:rPr/>
        <w:t>4.3. Trois propos qui résument</w:t>
      </w:r>
    </w:p>
    <w:p>
      <w:pPr>
        <w:pStyle w:val="Normal"/>
        <w:spacing w:lineRule="auto" w:line="240" w:before="60" w:after="40"/>
        <w:ind w:left="567" w:right="567"/>
        <w:jc w:val="both"/>
        <w:rPr>
          <w:sz w:val="24"/>
          <w:szCs w:val="24"/>
        </w:rPr>
      </w:pPr>
      <w:r>
        <w:rPr>
          <w:i/>
          <w:iCs/>
          <w:sz w:val="24"/>
          <w:szCs w:val="24"/>
        </w:rPr>
        <w:t>« Si vous venez à sept heures trente, vous aurez une infirmière qui vous explique. Si vous venez à onze heures, vous aurez la même infirmière mais elle vous dira trois mots. C'est le même service et ce n'est pas le même service. »</w:t>
      </w:r>
    </w:p>
    <w:p>
      <w:pPr>
        <w:pStyle w:val="Normal"/>
        <w:spacing w:lineRule="auto" w:line="240" w:before="0" w:after="160"/>
        <w:ind w:left="567" w:right="567"/>
        <w:jc w:val="right"/>
        <w:rPr>
          <w:sz w:val="24"/>
          <w:szCs w:val="24"/>
        </w:rPr>
      </w:pPr>
      <w:r>
        <w:rPr>
          <w:sz w:val="24"/>
          <w:szCs w:val="24"/>
        </w:rPr>
        <w:t>(P04, infirmière — traduit du kinyarwanda)</w:t>
      </w:r>
    </w:p>
    <w:p>
      <w:pPr>
        <w:pStyle w:val="Normal"/>
        <w:spacing w:lineRule="auto" w:line="240" w:before="60" w:after="40"/>
        <w:ind w:left="567" w:right="567"/>
        <w:jc w:val="both"/>
        <w:rPr>
          <w:sz w:val="24"/>
          <w:szCs w:val="24"/>
        </w:rPr>
      </w:pPr>
      <w:r>
        <w:rPr>
          <w:i/>
          <w:iCs/>
          <w:sz w:val="24"/>
          <w:szCs w:val="24"/>
        </w:rPr>
        <w:t>« Le fer, on l'a toujours. La moustiquaire, on l'a toujours. Parce qu'ils sont dans les indicateurs. Les bandelettes de glycémie ne sont dans aucun indicateur, donc elles arrivent en dernier ou pas du tout. »</w:t>
      </w:r>
    </w:p>
    <w:p>
      <w:pPr>
        <w:pStyle w:val="Normal"/>
        <w:spacing w:lineRule="auto" w:line="240" w:before="0" w:after="160"/>
        <w:ind w:left="567" w:right="567"/>
        <w:jc w:val="right"/>
        <w:rPr>
          <w:sz w:val="24"/>
          <w:szCs w:val="24"/>
        </w:rPr>
      </w:pPr>
      <w:r>
        <w:rPr>
          <w:sz w:val="24"/>
          <w:szCs w:val="24"/>
        </w:rPr>
        <w:t>(P07, sage-femme)</w:t>
      </w:r>
    </w:p>
    <w:p>
      <w:pPr>
        <w:pStyle w:val="Normal"/>
        <w:spacing w:lineRule="auto" w:line="240" w:before="60" w:after="40"/>
        <w:ind w:left="567" w:right="567"/>
        <w:jc w:val="both"/>
        <w:rPr>
          <w:sz w:val="24"/>
          <w:szCs w:val="24"/>
        </w:rPr>
      </w:pPr>
      <w:r>
        <w:rPr>
          <w:i/>
          <w:iCs/>
          <w:sz w:val="24"/>
          <w:szCs w:val="24"/>
        </w:rPr>
        <w:t>« Aujourd'hui je réfère dans le vide. Et tant que je réfère dans le vide, mon dépistage s'arrête à la détection : ce n'est pas un dépistage, c'est un signalement. »</w:t>
      </w:r>
    </w:p>
    <w:p>
      <w:pPr>
        <w:pStyle w:val="Normal"/>
        <w:spacing w:lineRule="auto" w:line="240" w:before="0" w:after="160"/>
        <w:ind w:left="567" w:right="567"/>
        <w:jc w:val="right"/>
        <w:rPr>
          <w:sz w:val="24"/>
          <w:szCs w:val="24"/>
        </w:rPr>
      </w:pPr>
      <w:r>
        <w:rPr>
          <w:sz w:val="24"/>
          <w:szCs w:val="24"/>
        </w:rPr>
        <w:t>(P07, sage-femme)</w:t>
      </w:r>
    </w:p>
    <w:p>
      <w:pPr>
        <w:pStyle w:val="Heading2"/>
        <w:spacing w:before="220" w:after="120"/>
        <w:rPr/>
      </w:pPr>
      <w:r>
        <w:rPr/>
        <w:t>4.4. Ce que l'observation confirme ou nuance</w:t>
      </w:r>
    </w:p>
    <w:p>
      <w:pPr>
        <w:pStyle w:val="Normal"/>
        <w:spacing w:before="0" w:after="140"/>
        <w:jc w:val="both"/>
        <w:rPr/>
      </w:pPr>
      <w:r>
        <w:rPr>
          <w:i w:val="false"/>
          <w:iCs w:val="false"/>
        </w:rPr>
        <w:t>La confrontation des entretiens avec l'observation et les données de routine a produit 7 constats : 5 concordances et 2 écarts entre pratiques déclarées et pratiques observées. L'observation a notamment permis de situer le glucomètre, ce que les entretiens seuls n'établissaient pas.</w:t>
      </w:r>
    </w:p>
    <w:p>
      <w:pPr>
        <w:pStyle w:val="Heading1"/>
        <w:spacing w:before="280" w:after="160"/>
        <w:rPr/>
      </w:pPr>
      <w:r>
        <w:rPr/>
        <w:t>5. POINTS DE DISCUSSION</w:t>
      </w:r>
    </w:p>
    <w:p>
      <w:pPr>
        <w:pStyle w:val="ListParagraph"/>
        <w:numPr>
          <w:ilvl w:val="0"/>
          <w:numId w:val="1"/>
        </w:numPr>
        <w:spacing w:before="0" w:after="80"/>
        <w:jc w:val="both"/>
        <w:rPr/>
      </w:pPr>
      <w:r>
        <w:rPr>
          <w:i w:val="false"/>
          <w:iCs w:val="false"/>
        </w:rPr>
        <w:t>Deux programmes dans le même centre. La glycémie appartient au programme des maladies non transmissibles, la CPN au programme de santé maternelle. Tant que ce partage n'est pas organisé, la femme enceinte reste en dehors du circuit du glucomètre, ce qui rejoint le caractère non systématique du dépistage rapporté au niveau national</w:t>
      </w:r>
      <w:r>
        <w:rPr/>
        <w:t xml:space="preserve"> [4]</w:t>
      </w:r>
      <w:r>
        <w:rPr>
          <w:i w:val="false"/>
          <w:iCs w:val="false"/>
        </w:rPr>
        <w:t>.</w:t>
      </w:r>
    </w:p>
    <w:p>
      <w:pPr>
        <w:pStyle w:val="ListParagraph"/>
        <w:numPr>
          <w:ilvl w:val="0"/>
          <w:numId w:val="1"/>
        </w:numPr>
        <w:spacing w:before="0" w:after="80"/>
        <w:jc w:val="both"/>
        <w:rPr/>
      </w:pPr>
      <w:r>
        <w:rPr>
          <w:i w:val="false"/>
          <w:iCs w:val="false"/>
        </w:rPr>
        <w:t>Un test payant pour la femme. La couverture de l'assurance communautaire atteint 85,3 %</w:t>
      </w:r>
      <w:r>
        <w:rPr/>
        <w:t xml:space="preserve"> [6]</w:t>
      </w:r>
      <w:r>
        <w:rPr>
          <w:i w:val="false"/>
          <w:iCs w:val="false"/>
        </w:rPr>
        <w:t>, mais le recours reste concentré parmi les plus aisés</w:t>
      </w:r>
      <w:r>
        <w:rPr/>
        <w:t xml:space="preserve"> [7,8]</w:t>
      </w:r>
      <w:r>
        <w:rPr>
          <w:i w:val="false"/>
          <w:iCs w:val="false"/>
        </w:rPr>
        <w:t>. Un test hors du paquet de la CPN, payé au laboratoire, ajoute à la sélection sur les signes une sélection sur les moyens : c'est elle que la Charte d'Ottawa demande de corriger en conférant à chacun les moyens de sa santé</w:t>
      </w:r>
      <w:r>
        <w:rPr/>
        <w:t xml:space="preserve"> [5]</w:t>
      </w:r>
      <w:r>
        <w:rPr>
          <w:i w:val="false"/>
          <w:iCs w:val="false"/>
        </w:rPr>
        <w:t>.</w:t>
      </w:r>
    </w:p>
    <w:p>
      <w:pPr>
        <w:pStyle w:val="ListParagraph"/>
        <w:numPr>
          <w:ilvl w:val="0"/>
          <w:numId w:val="1"/>
        </w:numPr>
        <w:spacing w:before="0" w:after="80"/>
        <w:jc w:val="both"/>
        <w:rPr/>
      </w:pPr>
      <w:r>
        <w:rPr>
          <w:i w:val="false"/>
          <w:iCs w:val="false"/>
        </w:rPr>
        <w:t>L'explication, distribuée à l'inverse des besoins. L'inégalité ne tient pas seulement à l'accès au test, mais au temps d'explication, qui se raréfie là où il serait le plus utile ; c'est la dimension capacitante du dépistage qui se distribue mal</w:t>
      </w:r>
      <w:r>
        <w:rPr/>
        <w:t xml:space="preserve"> [5]</w:t>
      </w:r>
      <w:r>
        <w:rPr>
          <w:i w:val="false"/>
          <w:iCs w:val="false"/>
        </w:rPr>
        <w:t>.</w:t>
      </w:r>
    </w:p>
    <w:p>
      <w:pPr>
        <w:pStyle w:val="ListParagraph"/>
        <w:numPr>
          <w:ilvl w:val="0"/>
          <w:numId w:val="1"/>
        </w:numPr>
        <w:spacing w:before="0" w:after="80"/>
        <w:jc w:val="both"/>
        <w:rPr/>
      </w:pPr>
      <w:r>
        <w:rPr>
          <w:i w:val="false"/>
          <w:iCs w:val="false"/>
        </w:rPr>
        <w:t>Ce qui est compté existe. Les indicateurs orientent intrants, maintenance et supervision. Un dépistage absent du rapport mensuel n'est ni approvisionné ni contrôlé, et un contrôle de complétude du registre peut produire une égalité apparente.</w:t>
      </w:r>
    </w:p>
    <w:p>
      <w:pPr>
        <w:pStyle w:val="ListParagraph"/>
        <w:numPr>
          <w:ilvl w:val="0"/>
          <w:numId w:val="1"/>
        </w:numPr>
        <w:spacing w:before="0" w:after="80"/>
        <w:jc w:val="both"/>
        <w:rPr/>
      </w:pPr>
      <w:r>
        <w:rPr>
          <w:i w:val="false"/>
          <w:iCs w:val="false"/>
        </w:rPr>
        <w:t>La dotation ne suffit pas. Là où l'équipement est présent, l'inégalité du test diminue, mais celles du coût et de l'explication demeurent : la réponse ne peut être seulement matérielle.</w:t>
      </w:r>
    </w:p>
    <w:p>
      <w:pPr>
        <w:pStyle w:val="Heading1"/>
        <w:spacing w:before="280" w:after="160"/>
        <w:rPr/>
      </w:pPr>
      <w:r>
        <w:rPr/>
        <w:t>6. RECOMMANDATIONS</w:t>
      </w:r>
    </w:p>
    <w:p>
      <w:pPr>
        <w:pStyle w:val="Normal"/>
        <w:keepNext w:val="true"/>
        <w:spacing w:before="200" w:after="80"/>
        <w:rPr>
          <w:sz w:val="24"/>
          <w:szCs w:val="24"/>
        </w:rPr>
      </w:pPr>
      <w:r>
        <w:rPr>
          <w:b/>
          <w:bCs/>
          <w:sz w:val="24"/>
          <w:szCs w:val="24"/>
        </w:rPr>
        <w:t>Tableau 4. Recommandations par destinataire</w:t>
      </w:r>
    </w:p>
    <w:tbl>
      <w:tblPr>
        <w:tblW w:w="8787" w:type="dxa"/>
        <w:jc w:val="left"/>
        <w:tblInd w:w="0" w:type="dxa"/>
        <w:tblLayout w:type="fixed"/>
        <w:tblCellMar>
          <w:top w:w="60" w:type="dxa"/>
          <w:left w:w="100" w:type="dxa"/>
          <w:bottom w:w="60" w:type="dxa"/>
          <w:right w:w="100" w:type="dxa"/>
        </w:tblCellMar>
      </w:tblPr>
      <w:tblGrid>
        <w:gridCol w:w="2142"/>
        <w:gridCol w:w="4990"/>
        <w:gridCol w:w="1655"/>
      </w:tblGrid>
      <w:tr>
        <w:trPr>
          <w:tblHeader w:val="true"/>
        </w:trPr>
        <w:tc>
          <w:tcPr>
            <w:tcW w:w="2142"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Destinataire</w:t>
            </w:r>
          </w:p>
        </w:tc>
        <w:tc>
          <w:tcPr>
            <w:tcW w:w="4990"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Recommandations</w:t>
            </w:r>
          </w:p>
        </w:tc>
        <w:tc>
          <w:tcPr>
            <w:tcW w:w="1655" w:type="dxa"/>
            <w:tcBorders>
              <w:top w:val="single" w:sz="4" w:space="0" w:color="000000"/>
              <w:left w:val="single" w:sz="4" w:space="0" w:color="000000"/>
              <w:bottom w:val="single" w:sz="4" w:space="0" w:color="000000"/>
              <w:right w:val="single" w:sz="4" w:space="0" w:color="000000"/>
            </w:tcBorders>
            <w:shd w:color="auto" w:fill="E8EDF2" w:val="clear"/>
          </w:tcPr>
          <w:p>
            <w:pPr>
              <w:pStyle w:val="Normal"/>
              <w:spacing w:lineRule="auto" w:line="240" w:before="40" w:after="40"/>
              <w:jc w:val="left"/>
              <w:rPr>
                <w:sz w:val="22"/>
                <w:szCs w:val="22"/>
              </w:rPr>
            </w:pPr>
            <w:r>
              <w:rPr>
                <w:b/>
                <w:bCs/>
                <w:i w:val="false"/>
                <w:iCs w:val="false"/>
                <w:sz w:val="22"/>
                <w:szCs w:val="22"/>
              </w:rPr>
              <w:t>Résultats d'appui</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Ministère de la Santé et Rwanda Biomedical Centre</w:t>
            </w:r>
          </w:p>
        </w:tc>
        <w:tc>
          <w:tcPr>
            <w:tcW w:w="499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Inscrire la glycémie de la femme enceinte dans le paquet de soins de la CPN, sans frais pour elle ; fixer par écrit les signes d'appel et les facteurs de risque qui justifient le test</w:t>
            </w:r>
          </w:p>
        </w:tc>
        <w:tc>
          <w:tcPr>
            <w:tcW w:w="16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Thème 1</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Direction de la santé du district</w:t>
            </w:r>
          </w:p>
        </w:tc>
        <w:tc>
          <w:tcPr>
            <w:tcW w:w="499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Rattacher explicitement la glycémie de la femme enceinte à la CPN : réserver au laboratoire une part des bandelettes pour les bons de la CPN, et inclure ces bandelettes et les piles des tensiomètres dans les intrants essentiels ; inscrire dans le rapport mensuel une ligne sur le dépistage (tensions mesurées, glycémies réalisées, résultats anormaux, références abouties) ; organiser la maintenance des appareils ; superviser par l'observation des actes et non par la seule complétude des registres</w:t>
            </w:r>
          </w:p>
        </w:tc>
        <w:tc>
          <w:tcPr>
            <w:tcW w:w="16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Thèmes 1, 4, 5 et 6</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Responsables des centres de santé</w:t>
            </w:r>
          </w:p>
        </w:tc>
        <w:tc>
          <w:tcPr>
            <w:tcW w:w="499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Organiser le circuit « bon de CPN → laboratoire » le matin même ; coordonner la CPN et la consultation des maladies chroniques pour l'usage du glucomètre</w:t>
            </w:r>
          </w:p>
        </w:tc>
        <w:tc>
          <w:tcPr>
            <w:tcW w:w="16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Thème 1</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Hôpital de district</w:t>
            </w:r>
          </w:p>
        </w:tc>
        <w:tc>
          <w:tcPr>
            <w:tcW w:w="499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Rendre systématique le retour d'information vers le centre pour chaque femme référée ; organiser le suivi après l'accouchement des femmes dépistées</w:t>
            </w:r>
          </w:p>
        </w:tc>
        <w:tc>
          <w:tcPr>
            <w:tcW w:w="16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Thème 3</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Équipes de CPN</w:t>
            </w:r>
          </w:p>
        </w:tc>
        <w:tc>
          <w:tcPr>
            <w:tcW w:w="499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Vérifier la compréhension en faisant reformuler la femme ; utiliser un support visuel commun ; consacrer davantage de temps d'explication aux femmes qui en ont le plus besoin ; tracer les références</w:t>
            </w:r>
          </w:p>
        </w:tc>
        <w:tc>
          <w:tcPr>
            <w:tcW w:w="16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Thème 2</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Formation initiale et continue</w:t>
            </w:r>
          </w:p>
        </w:tc>
        <w:tc>
          <w:tcPr>
            <w:tcW w:w="499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Former les infirmiers affectés aux constantes autant que les sages-femmes ; former des équipes plutôt que des personnes ; intégrer la pratique informative et sa distribution entre les femmes au contenu des formations</w:t>
            </w:r>
          </w:p>
        </w:tc>
        <w:tc>
          <w:tcPr>
            <w:tcW w:w="16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Thèmes 1 et 2 ; conditions individuelles</w:t>
            </w:r>
          </w:p>
        </w:tc>
      </w:tr>
      <w:tr>
        <w:trPr/>
        <w:tc>
          <w:tcPr>
            <w:tcW w:w="21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Programme de santé communautaire</w:t>
            </w:r>
          </w:p>
        </w:tc>
        <w:tc>
          <w:tcPr>
            <w:tcW w:w="4990"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Appuyer le rôle des agents dans le suivi des femmes référées et après l'accouchement, et reconnaître les outils de suivi créés localement</w:t>
            </w:r>
          </w:p>
        </w:tc>
        <w:tc>
          <w:tcPr>
            <w:tcW w:w="1655" w:type="dxa"/>
            <w:tcBorders>
              <w:top w:val="single" w:sz="4" w:space="0" w:color="000000"/>
              <w:left w:val="single" w:sz="4" w:space="0" w:color="000000"/>
              <w:bottom w:val="single" w:sz="4" w:space="0" w:color="000000"/>
              <w:right w:val="single" w:sz="4" w:space="0" w:color="000000"/>
            </w:tcBorders>
          </w:tcPr>
          <w:p>
            <w:pPr>
              <w:pStyle w:val="Normal"/>
              <w:spacing w:lineRule="auto" w:line="240" w:before="40" w:after="40"/>
              <w:jc w:val="left"/>
              <w:rPr>
                <w:sz w:val="22"/>
                <w:szCs w:val="22"/>
              </w:rPr>
            </w:pPr>
            <w:r>
              <w:rPr>
                <w:b w:val="false"/>
                <w:bCs w:val="false"/>
                <w:i w:val="false"/>
                <w:iCs w:val="false"/>
                <w:sz w:val="22"/>
                <w:szCs w:val="22"/>
              </w:rPr>
              <w:t>Thème 7</w:t>
            </w:r>
          </w:p>
        </w:tc>
      </w:tr>
    </w:tbl>
    <w:p>
      <w:pPr>
        <w:pStyle w:val="Normal"/>
        <w:spacing w:before="60" w:after="200"/>
        <w:rPr>
          <w:sz w:val="22"/>
          <w:szCs w:val="22"/>
        </w:rPr>
      </w:pPr>
      <w:r>
        <w:rPr>
          <w:i/>
          <w:iCs/>
          <w:sz w:val="22"/>
          <w:szCs w:val="22"/>
        </w:rPr>
        <w:t>Source : chapitre 6 du mémoire.</w:t>
      </w:r>
    </w:p>
    <w:p>
      <w:pPr>
        <w:pStyle w:val="Heading1"/>
        <w:spacing w:before="280" w:after="160"/>
        <w:rPr/>
      </w:pPr>
      <w:r>
        <w:rPr/>
        <w:t>7. LIMITES</w:t>
      </w:r>
    </w:p>
    <w:p>
      <w:pPr>
        <w:pStyle w:val="Normal"/>
        <w:spacing w:before="0" w:after="140"/>
        <w:jc w:val="both"/>
        <w:rPr/>
      </w:pPr>
      <w:r>
        <w:rPr>
          <w:i w:val="false"/>
          <w:iCs w:val="false"/>
        </w:rPr>
        <w:t>Les résultats portent sur des perceptions et des pratiques déclarées ; le point de vue des femmes n'a pas été recueilli. L'observation, d'une demi-journée par centre, est exposée à un effet de la présence de l'observateur. Les données de routine, de qualité limitée</w:t>
      </w:r>
      <w:r>
        <w:rPr/>
        <w:t xml:space="preserve"> [9]</w:t>
      </w:r>
      <w:r>
        <w:rPr>
          <w:i w:val="false"/>
          <w:iCs w:val="false"/>
        </w:rPr>
        <w:t>, ne servent qu'à décrire le contexte. L'étude porte sur un seul district : ses résultats ne se généralisent pas, mais la description du contexte permet d'apprécier leur transférabilité.</w:t>
      </w:r>
    </w:p>
    <w:p>
      <w:pPr>
        <w:pStyle w:val="Heading1"/>
        <w:spacing w:before="280" w:after="160"/>
        <w:rPr/>
      </w:pPr>
      <w:r>
        <w:rPr/>
        <w:t>8. CONCLUSION</w:t>
      </w:r>
    </w:p>
    <w:p>
      <w:pPr>
        <w:pStyle w:val="Normal"/>
        <w:spacing w:before="0" w:after="140"/>
        <w:jc w:val="both"/>
        <w:rPr/>
      </w:pPr>
      <w:r>
        <w:rPr>
          <w:i w:val="false"/>
          <w:iCs w:val="false"/>
        </w:rPr>
        <w:t>Le dépistage de l'hypertension et du diabète en CPN est accepté par les professionnels comme relevant de leur mandat, mais il n'est réalisé qu'à moitié : la tension est mesurée, la glycémie dépend d'un circuit qui n'est ouvert à la femme enceinte que dans 5 centres sur 15, sur des signes d'appel et à ses frais. Inscrire la glycémie dans le paquet de soins de la CPN, sans frais pour la femme, compter les actes de dépistage et leur suite, et soutenir la pratique informative sont les trois leviers qui ressortent de l'étude.</w:t>
      </w:r>
    </w:p>
    <w:p>
      <w:pPr>
        <w:pStyle w:val="Heading1"/>
        <w:spacing w:before="280" w:after="160"/>
        <w:rPr/>
      </w:pPr>
      <w:r>
        <w:rPr/>
        <w:t>RÉFÉRENCES</w:t>
      </w:r>
    </w:p>
    <w:p>
      <w:pPr>
        <w:pStyle w:val="Bibliographie"/>
        <w:rPr/>
      </w:pPr>
      <w:r>
        <w:rPr/>
        <w:t>1.</w:t>
        <w:tab/>
        <w:t>World Health Organization. WHO recommendations on antenatal care for a positive pregnancy experience. Geneva: WHO; 2016.</w:t>
      </w:r>
    </w:p>
    <w:p>
      <w:pPr>
        <w:pStyle w:val="Bibliographie"/>
        <w:rPr/>
      </w:pPr>
      <w:r>
        <w:rPr/>
        <w:t>2.</w:t>
        <w:tab/>
        <w:t>World Health Organization. WHO package of essential noncommunicable (PEN) disease interventions for primary health care. Geneva: WHO; 2020.</w:t>
      </w:r>
    </w:p>
    <w:p>
      <w:pPr>
        <w:pStyle w:val="Bibliographie"/>
        <w:rPr/>
      </w:pPr>
      <w:r>
        <w:rPr/>
        <w:t>3.</w:t>
        <w:tab/>
        <w:t>Rwanda Biomedical Centre, Ministry of Health, World Health Organization. Rwanda non-communicable diseases risk factors report: STEPS survey 2022. Kigali: Rwanda Biomedical Centre; 2023.</w:t>
      </w:r>
    </w:p>
    <w:p>
      <w:pPr>
        <w:pStyle w:val="Bibliographie"/>
        <w:rPr/>
      </w:pPr>
      <w:r>
        <w:rPr/>
        <w:t>4.</w:t>
        <w:tab/>
        <w:t>Meharry PM, Tengera O, Rulisa S, Byambu AK, Nietert PJ, Byiringiro S, et al. Prevalence of gestational diabetes mellitus among women attending antenatal care at public health centers in Rwanda. Diabetes Res Clin Pract. 2019;151:252-9.</w:t>
      </w:r>
    </w:p>
    <w:p>
      <w:pPr>
        <w:pStyle w:val="Bibliographie"/>
        <w:rPr/>
      </w:pPr>
      <w:r>
        <w:rPr/>
        <w:t>5.</w:t>
        <w:tab/>
        <w:t>World Health Organization. Ottawa Charter for Health Promotion. Geneva: WHO; 1986.</w:t>
      </w:r>
    </w:p>
    <w:p>
      <w:pPr>
        <w:pStyle w:val="Bibliographie"/>
        <w:rPr/>
      </w:pPr>
      <w:r>
        <w:rPr/>
        <w:t>6.</w:t>
        <w:tab/>
        <w:t>National Institute of Statistics of Rwanda. EICV7 — main indicators report 2023/24. Kigali: NISR; 2025.</w:t>
      </w:r>
    </w:p>
    <w:p>
      <w:pPr>
        <w:pStyle w:val="Bibliographie"/>
        <w:rPr/>
      </w:pPr>
      <w:r>
        <w:rPr/>
        <w:t>7.</w:t>
        <w:tab/>
        <w:t>Harerimana, Jean de Dieu. « Health insurance and the distribution of healthcare use in Rwanda’s Vision Umurenge Programme: evidence from the Seventh Integrated Household Living Conditions Survey ». Global Health Action, vol. 19, no 1, 2026, article 2641401. https://doi.org/10.1080/16549716.2026.2641401.</w:t>
      </w:r>
    </w:p>
    <w:p>
      <w:pPr>
        <w:pStyle w:val="Bibliographie"/>
        <w:rPr/>
      </w:pPr>
      <w:r>
        <w:rPr/>
        <w:t>8.</w:t>
        <w:tab/>
        <w:t>Mukangendo M, Nzayirambaho M, Hitimana R, Yamuragiye A. Factors contributing to low adherence to community-based health insurance in rural Nyanza District, Southern Rwanda. Journal of Environmental and Public Health. 2018;2018:2624591. doi:10.1155/2018/2624591. PMID: 30662470; PMCID: PMC6312613.</w:t>
      </w:r>
    </w:p>
    <w:p>
      <w:pPr>
        <w:pStyle w:val="Bibliographie"/>
        <w:rPr/>
      </w:pPr>
      <w:r>
        <w:rPr/>
        <w:t>9.</w:t>
        <w:tab/>
        <w:t>Nshimyiryo A, Kirk CM, Sauer SM, Ntawuyirusha E, Muhire A, Sayinzoga F, Hedt-Gauthier B. Health management information system (HMIS) data verification: a case study in four districts in Rwanda. PLoS ONE. 2020;15(7):e0235823. doi:10.1371/journal.pone.0235823.</w:t>
      </w:r>
    </w:p>
    <w:p>
      <w:pPr>
        <w:pStyle w:val="Normal"/>
        <w:rPr/>
      </w:pPr>
      <w:r>
        <w:rPr/>
      </w:r>
      <w:r>
        <w:br w:type="page"/>
      </w:r>
    </w:p>
    <w:tbl>
      <w:tblPr>
        <w:tblW w:w="8787" w:type="dxa"/>
        <w:jc w:val="left"/>
        <w:tblInd w:w="0" w:type="dxa"/>
        <w:tblLayout w:type="fixed"/>
        <w:tblCellMar>
          <w:top w:w="120" w:type="dxa"/>
          <w:left w:w="160" w:type="dxa"/>
          <w:bottom w:w="120" w:type="dxa"/>
          <w:right w:w="160" w:type="dxa"/>
        </w:tblCellMar>
      </w:tblPr>
      <w:tblGrid>
        <w:gridCol w:w="8787"/>
      </w:tblGrid>
      <w:tr>
        <w:trPr/>
        <w:tc>
          <w:tcPr>
            <w:tcW w:w="8787" w:type="dxa"/>
            <w:tcBorders>
              <w:top w:val="single" w:sz="10" w:space="0" w:color="C0392B"/>
              <w:left w:val="single" w:sz="10" w:space="0" w:color="C0392B"/>
              <w:bottom w:val="single" w:sz="10" w:space="0" w:color="C0392B"/>
              <w:right w:val="single" w:sz="10" w:space="0" w:color="C0392B"/>
            </w:tcBorders>
            <w:shd w:color="auto" w:fill="FDEDEC" w:val="clear"/>
          </w:tcPr>
          <w:p>
            <w:pPr>
              <w:pStyle w:val="Normal"/>
              <w:pageBreakBefore/>
              <w:spacing w:lineRule="auto" w:line="240" w:before="0" w:after="40"/>
              <w:jc w:val="left"/>
              <w:rPr>
                <w:sz w:val="22"/>
                <w:szCs w:val="22"/>
              </w:rPr>
            </w:pPr>
            <w:r>
              <w:rPr>
                <w:b/>
                <w:bCs/>
                <w:color w:val="C0392B"/>
                <w:sz w:val="22"/>
                <w:szCs w:val="22"/>
              </w:rPr>
              <w:t>PAGE D'EXERCICE — À RETIRER</w:t>
            </w:r>
          </w:p>
          <w:p>
            <w:pPr>
              <w:pStyle w:val="Normal"/>
              <w:spacing w:lineRule="auto" w:line="240" w:before="40" w:after="40"/>
              <w:jc w:val="left"/>
              <w:rPr>
                <w:sz w:val="22"/>
                <w:szCs w:val="22"/>
              </w:rPr>
            </w:pPr>
            <w:r>
              <w:rPr>
                <w:sz w:val="22"/>
                <w:szCs w:val="22"/>
              </w:rPr>
              <w:t>Exercice de formation : les entretiens, observations et données de routine de ce document sont simulés. Aucun résultat ne décrit le district de Ngoma. Avec les données réelles, tout est à refaire à partir du dossier vierge (kit-donnees-reelles).</w:t>
            </w:r>
          </w:p>
        </w:tc>
      </w:tr>
    </w:tbl>
    <w:p>
      <w:pPr>
        <w:pStyle w:val="Normal"/>
        <w:rPr/>
      </w:pPr>
      <w:r>
        <w:rPr/>
      </w:r>
    </w:p>
    <w:p>
      <w:pPr>
        <w:pStyle w:val="Heading2"/>
        <w:spacing w:before="220" w:after="120"/>
        <w:rPr/>
      </w:pPr>
      <w:r>
        <w:rPr/>
        <w:t>Ce qui reste à compléter</w:t>
      </w:r>
    </w:p>
    <w:p>
      <w:pPr>
        <w:pStyle w:val="ListParagraph"/>
        <w:numPr>
          <w:ilvl w:val="0"/>
          <w:numId w:val="1"/>
        </w:numPr>
        <w:spacing w:before="0" w:after="80"/>
        <w:rPr/>
      </w:pPr>
      <w:r>
        <w:rPr/>
        <w:t>Liste du personnel de l'École : à recopier depuis la liste officielle de l'ENATSE de l'année du dépôt.</w:t>
      </w:r>
    </w:p>
    <w:p>
      <w:pPr>
        <w:pStyle w:val="ListParagraph"/>
        <w:numPr>
          <w:ilvl w:val="0"/>
          <w:numId w:val="1"/>
        </w:numPr>
        <w:spacing w:before="0" w:after="80"/>
        <w:rPr/>
      </w:pPr>
      <w:r>
        <w:rPr/>
        <w:t>Dédicace, et hommages aux membres du jury : à écrire soi-même ; les noms du jury ne sont connus qu'après sa désignation.</w:t>
      </w:r>
    </w:p>
    <w:p>
      <w:pPr>
        <w:pStyle w:val="ListParagraph"/>
        <w:numPr>
          <w:ilvl w:val="0"/>
          <w:numId w:val="1"/>
        </w:numPr>
        <w:spacing w:before="0" w:after="80"/>
        <w:rPr/>
      </w:pPr>
      <w:r>
        <w:rPr/>
        <w:t>Annexe 6 et § 4.2.7 : numéros et dates de l'approbation du comité d'éthique et de l'autorisation du district — jamais inventés, recopiés des documents reçus.</w:t>
      </w:r>
    </w:p>
    <w:p>
      <w:pPr>
        <w:pStyle w:val="ListParagraph"/>
        <w:numPr>
          <w:ilvl w:val="0"/>
          <w:numId w:val="1"/>
        </w:numPr>
        <w:spacing w:before="0" w:after="80"/>
        <w:rPr/>
      </w:pPr>
      <w:r>
        <w:rPr/>
        <w:t>Annexe 5 : versions kinyarwanda et anglaise des outils issues de la traduction et de la rétro-traduction.</w:t>
      </w:r>
    </w:p>
    <w:p>
      <w:pPr>
        <w:pStyle w:val="ListParagraph"/>
        <w:numPr>
          <w:ilvl w:val="0"/>
          <w:numId w:val="1"/>
        </w:numPr>
        <w:spacing w:before="0" w:after="80"/>
        <w:rPr/>
      </w:pPr>
      <w:r>
        <w:rPr/>
        <w:t>Note de positionnalité : la question laissée entre crochets (exercice antérieur dans le district de Ngoma).</w:t>
      </w:r>
    </w:p>
    <w:p>
      <w:pPr>
        <w:pStyle w:val="ListParagraph"/>
        <w:numPr>
          <w:ilvl w:val="0"/>
          <w:numId w:val="1"/>
        </w:numPr>
        <w:spacing w:before="0" w:after="80"/>
        <w:rPr/>
      </w:pPr>
      <w:r>
        <w:rPr/>
        <w:t>Extraits d'entretien : le protocole prévoit leur reproduction dans les deux langues (langue source et traduction). Dans l'exercice, seule la traduction française figure ; avec les données réelles, ajouter la version source de chaque extrait.</w:t>
      </w:r>
    </w:p>
    <w:p>
      <w:pPr>
        <w:pStyle w:val="Heading2"/>
        <w:spacing w:before="220" w:after="120"/>
        <w:rPr/>
      </w:pPr>
      <w:r>
        <w:rPr/>
        <w:t>Ce qui reste à vérifier</w:t>
      </w:r>
    </w:p>
    <w:p>
      <w:pPr>
        <w:pStyle w:val="ListParagraph"/>
        <w:numPr>
          <w:ilvl w:val="0"/>
          <w:numId w:val="1"/>
        </w:numPr>
        <w:spacing w:before="0" w:after="80"/>
        <w:rPr/>
      </w:pPr>
      <w:r>
        <w:rPr/>
        <w:t>Figure 2 (carte du district de Ngoma) : la source n'est pas indiquée dans le protocole ; l'ajouter sous la figure.</w:t>
      </w:r>
    </w:p>
    <w:p>
      <w:pPr>
        <w:pStyle w:val="ListParagraph"/>
        <w:numPr>
          <w:ilvl w:val="0"/>
          <w:numId w:val="1"/>
        </w:numPr>
        <w:spacing w:before="0" w:after="80"/>
        <w:rPr/>
      </w:pPr>
      <w:r>
        <w:rPr/>
        <w:t>Annexe 1 (guide d'entretien) : la numérotation passe de la section 5 à la section 7 dans le protocole ; corriger ou expliquer.</w:t>
      </w:r>
    </w:p>
    <w:p>
      <w:pPr>
        <w:pStyle w:val="ListParagraph"/>
        <w:numPr>
          <w:ilvl w:val="0"/>
          <w:numId w:val="1"/>
        </w:numPr>
        <w:spacing w:before="0" w:after="80"/>
        <w:rPr/>
      </w:pPr>
      <w:r>
        <w:rPr/>
        <w:t>Protocole : passer de seize à quinze centres (§ 4.2.2.2 et § 4.2.3.2) et préciser que le pré-test a lieu dans le seizième centre, exclu de l'échantillon — déjà fait dans le mémoire, à reporter dans le protocole.</w:t>
      </w:r>
    </w:p>
    <w:p>
      <w:pPr>
        <w:pStyle w:val="ListParagraph"/>
        <w:numPr>
          <w:ilvl w:val="0"/>
          <w:numId w:val="1"/>
        </w:numPr>
        <w:spacing w:before="0" w:after="80"/>
        <w:rPr/>
      </w:pPr>
      <w:r>
        <w:rPr/>
        <w:t>Glycémie hors du paquet de soins de la CPN et payée par la femme : vérifier dans les documents du Ministère de la Santé (paquet de la CPN, tarification des centres de santé, couverture de la mutuelle) avant de l'écrire comme un fait dans le mémoire réel.</w:t>
      </w:r>
    </w:p>
    <w:p>
      <w:pPr>
        <w:pStyle w:val="ListParagraph"/>
        <w:numPr>
          <w:ilvl w:val="0"/>
          <w:numId w:val="1"/>
        </w:numPr>
        <w:spacing w:before="0" w:after="80"/>
        <w:rPr/>
      </w:pPr>
      <w:r>
        <w:rPr/>
        <w:t>Mise en forme appliquée (Times New Roman 14, interligne 1,5, marges de 2,5 cm et 3 cm à gauche ; annexes, listes et références en 12 pt à interligne simple) : à confronter au document des règles de rédaction de l'ENATSE.</w:t>
      </w:r>
    </w:p>
    <w:p>
      <w:pPr>
        <w:pStyle w:val="ListParagraph"/>
        <w:numPr>
          <w:ilvl w:val="0"/>
          <w:numId w:val="1"/>
        </w:numPr>
        <w:spacing w:before="0" w:after="80"/>
        <w:rPr/>
      </w:pPr>
      <w:r>
        <w:rPr/>
        <w:t>Limite de 70 pages : le mémoire en compte 69, de la page de garde à l'abstract, annexes comprises, mesurées avec l'interligne 1,5 réel. Pour y tenir, 28 paragraphes des chapitres 1 à 4 du protocole ne sont pas repris (liste CONDENSATION dans faire-memoire.mjs) et le tableau de cohérence (annexe 8 du protocole) n'est pas reproduit : à valider avec la direction de mémoire.</w:t>
      </w:r>
    </w:p>
    <w:p>
      <w:pPr>
        <w:pStyle w:val="ListParagraph"/>
        <w:numPr>
          <w:ilvl w:val="0"/>
          <w:numId w:val="1"/>
        </w:numPr>
        <w:spacing w:before="0" w:after="80"/>
        <w:rPr/>
      </w:pPr>
      <w:r>
        <w:rPr/>
        <w:t>Références 72 à 79, ajoutées pendant la rédaction de la discussion : vérifier chacune dans sa source (auteurs, année, volume, pages) avant de la conserver.</w:t>
      </w:r>
    </w:p>
    <w:p>
      <w:pPr>
        <w:pStyle w:val="ListParagraph"/>
        <w:numPr>
          <w:ilvl w:val="0"/>
          <w:numId w:val="1"/>
        </w:numPr>
        <w:spacing w:before="0" w:after="80"/>
        <w:rPr/>
      </w:pPr>
      <w:r>
        <w:rPr/>
        <w:t>Chiffres nationaux cités dans la discussion (STEPS 2022 [3] : 87,0 % des femmes jamais testées pour la glycémie, 38 % jamais pour la tension ; Meharry 2019 [4] : protocole national de 2012 et prévalence de 3,2 %) : relevés dans les résumés publiés ; les confirmer dans le texte intégral.</w:t>
      </w:r>
    </w:p>
    <w:p>
      <w:pPr>
        <w:pStyle w:val="ListParagraph"/>
        <w:numPr>
          <w:ilvl w:val="0"/>
          <w:numId w:val="1"/>
        </w:numPr>
        <w:spacing w:before="0" w:after="80"/>
        <w:rPr/>
      </w:pPr>
      <w:r>
        <w:rPr/>
        <w:t>Objectif spécifique 1 du protocole : « information capacitances » est une coquille pour « information capacitante » (corrigée dans le rapport et le mémoire, à corriger dans le protocole).</w:t>
      </w:r>
    </w:p>
    <w:p>
      <w:pPr>
        <w:pStyle w:val="ListParagraph"/>
        <w:numPr>
          <w:ilvl w:val="0"/>
          <w:numId w:val="1"/>
        </w:numPr>
        <w:spacing w:before="0" w:after="80"/>
        <w:rPr/>
      </w:pPr>
      <w:r>
        <w:rPr/>
        <w:t>Figure 3 (cadre conceptuel révisé) : proposition issue de résultats SIMULÉS ; avec les données réelles, le cadre révisé sera à reconstruire à partir des codes inductifs réels.</w:t>
      </w:r>
    </w:p>
    <w:p>
      <w:pPr>
        <w:pStyle w:val="ListParagraph"/>
        <w:numPr>
          <w:ilvl w:val="0"/>
          <w:numId w:val="1"/>
        </w:numPr>
        <w:spacing w:before="0" w:after="80"/>
        <w:rPr/>
      </w:pPr>
      <w:r>
        <w:rPr/>
        <w:t>Écart au protocole (QualiCode au lieu de NVivo, § 4.2.6) : à faire valider par la direction de mémoire.</w:t>
      </w:r>
    </w:p>
    <w:p>
      <w:pPr>
        <w:pStyle w:val="ListParagraph"/>
        <w:numPr>
          <w:ilvl w:val="0"/>
          <w:numId w:val="1"/>
        </w:numPr>
        <w:spacing w:before="0" w:after="80"/>
        <w:rPr/>
      </w:pPr>
      <w:r>
        <w:rPr/>
        <w:t>Sommaire et table des matières : déjà remplis dans le fichier livré ; après toute modification, les mettre à jour dans Word (clic droit → Mettre à jour les champs).</w:t>
      </w:r>
    </w:p>
    <w:sectPr>
      <w:footerReference w:type="even" r:id="rId2"/>
      <w:footerReference w:type="default" r:id="rId3"/>
      <w:footerReference w:type="first" r:id="rId4"/>
      <w:type w:val="nextPage"/>
      <w:pgSz w:w="11906" w:h="16838"/>
      <w:pgMar w:left="1701" w:right="1418" w:gutter="0" w:header="0" w:top="1418" w:footer="709" w:bottom="1418"/>
      <w:pgNumType w:fmt="decimal"/>
      <w:formProt w:val="false"/>
      <w:textDirection w:val="lrTb"/>
      <w:docGrid w:type="default" w:linePitch="36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color w:val="888888"/>
        <w:sz w:val="16"/>
        <w:szCs w:val="16"/>
      </w:rPr>
      <w:t xml:space="preserve">Rapport de mémoire Ngoma — exercice de formation, données simulées · </w:t>
    </w: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color w:val="888888"/>
        <w:sz w:val="16"/>
        <w:szCs w:val="16"/>
      </w:rPr>
      <w:t xml:space="preserve">Rapport de mémoire Ngoma — exercice de formation, données simulées · </w:t>
    </w:r>
    <w:r>
      <w:rPr/>
      <w:fldChar w:fldCharType="begin"/>
    </w:r>
    <w:r>
      <w:rPr/>
      <w:instrText xml:space="preserve"> PAGE </w:instrText>
    </w:r>
    <w:r>
      <w:rPr/>
      <w:fldChar w:fldCharType="separate"/>
    </w:r>
    <w:r>
      <w:rPr/>
      <w:t>13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en-US" w:eastAsia="zh-CN" w:bidi="hi-IN"/>
      </w:rPr>
    </w:rPrDefault>
    <w:pPrDefault>
      <w:pPr>
        <w:suppressAutoHyphens w:val="true"/>
      </w:pPr>
    </w:pPrDefault>
  </w:docDefaults>
  <w:style w:type="paragraph" w:styleId="Normal" w:default="1">
    <w:name w:val="Normal"/>
    <w:qFormat/>
    <w:pPr>
      <w:widowControl/>
      <w:bidi w:val="0"/>
      <w:spacing w:lineRule="auto" w:line="360" w:before="0" w:after="120"/>
      <w:jc w:val="both"/>
    </w:pPr>
    <w:rPr>
      <w:rFonts w:ascii="Times New Roman" w:hAnsi="Times New Roman" w:eastAsia="Times New Roman" w:cs="Times New Roman"/>
      <w:color w:val="auto"/>
      <w:kern w:val="0"/>
      <w:sz w:val="28"/>
      <w:szCs w:val="28"/>
      <w:lang w:val="en-US" w:eastAsia="zh-CN" w:bidi="hi-IN"/>
    </w:rPr>
  </w:style>
  <w:style w:type="paragraph" w:styleId="Heading1">
    <w:name w:val="Heading 1"/>
    <w:basedOn w:val="Normal"/>
    <w:next w:val="Normal"/>
    <w:qFormat/>
    <w:pPr>
      <w:keepNext w:val="true"/>
      <w:keepLines/>
      <w:spacing w:lineRule="auto" w:line="360" w:before="360" w:after="120"/>
      <w:jc w:val="left"/>
      <w:outlineLvl w:val="0"/>
    </w:pPr>
    <w:rPr>
      <w:rFonts w:ascii="Times New Roman" w:hAnsi="Times New Roman" w:eastAsia="Times New Roman" w:cs="Times New Roman"/>
      <w:b/>
      <w:bCs/>
      <w:i w:val="false"/>
      <w:iCs w:val="false"/>
      <w:color w:val="000000"/>
      <w:sz w:val="28"/>
      <w:szCs w:val="28"/>
    </w:rPr>
  </w:style>
  <w:style w:type="paragraph" w:styleId="Heading2">
    <w:name w:val="Heading 2"/>
    <w:basedOn w:val="Normal"/>
    <w:next w:val="Normal"/>
    <w:qFormat/>
    <w:pPr>
      <w:keepNext w:val="true"/>
      <w:keepLines/>
      <w:spacing w:lineRule="auto" w:line="360" w:before="240" w:after="120"/>
      <w:jc w:val="left"/>
      <w:outlineLvl w:val="1"/>
    </w:pPr>
    <w:rPr>
      <w:rFonts w:ascii="Times New Roman" w:hAnsi="Times New Roman" w:eastAsia="Times New Roman" w:cs="Times New Roman"/>
      <w:b/>
      <w:bCs/>
      <w:i w:val="false"/>
      <w:iCs w:val="false"/>
      <w:color w:val="000000"/>
      <w:sz w:val="28"/>
      <w:szCs w:val="28"/>
    </w:rPr>
  </w:style>
  <w:style w:type="paragraph" w:styleId="Heading3">
    <w:name w:val="Heading 3"/>
    <w:basedOn w:val="Normal"/>
    <w:next w:val="Normal"/>
    <w:qFormat/>
    <w:pPr>
      <w:keepNext w:val="true"/>
      <w:keepLines/>
      <w:spacing w:lineRule="auto" w:line="360" w:before="180" w:after="120"/>
      <w:jc w:val="left"/>
      <w:outlineLvl w:val="2"/>
    </w:pPr>
    <w:rPr>
      <w:rFonts w:ascii="Times New Roman" w:hAnsi="Times New Roman" w:eastAsia="Times New Roman" w:cs="Times New Roman"/>
      <w:b/>
      <w:bCs/>
      <w:i/>
      <w:iCs/>
      <w:color w:val="000000"/>
      <w:sz w:val="28"/>
      <w:szCs w:val="28"/>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extecompact">
    <w:name w:val="Texte compact"/>
    <w:basedOn w:val="Normal"/>
    <w:qFormat/>
    <w:pPr>
      <w:spacing w:lineRule="auto" w:line="240" w:before="0" w:after="80"/>
    </w:pPr>
    <w:rPr>
      <w:rFonts w:ascii="Times New Roman" w:hAnsi="Times New Roman" w:eastAsia="Times New Roman" w:cs="Times New Roman"/>
      <w:sz w:val="22"/>
      <w:szCs w:val="22"/>
    </w:rPr>
  </w:style>
  <w:style w:type="paragraph" w:styleId="Titrecompact">
    <w:name w:val="Titre compact"/>
    <w:basedOn w:val="Textecompact"/>
    <w:next w:val="Textecompact"/>
    <w:qFormat/>
    <w:pPr>
      <w:keepNext w:val="true"/>
      <w:spacing w:before="160" w:after="80"/>
      <w:jc w:val="left"/>
    </w:pPr>
    <w:rPr>
      <w:b/>
      <w:bCs/>
    </w:rPr>
  </w:style>
  <w:style w:type="paragraph" w:styleId="Bibliographie">
    <w:name w:val="Bibliographie"/>
    <w:basedOn w:val="Normal"/>
    <w:qFormat/>
    <w:pPr>
      <w:spacing w:lineRule="auto" w:line="240" w:before="0" w:after="20"/>
      <w:ind w:hanging="567" w:left="567"/>
      <w:jc w:val="left"/>
    </w:pPr>
    <w:rPr>
      <w:rFonts w:ascii="Times New Roman" w:hAnsi="Times New Roman" w:eastAsia="Times New Roman" w:cs="Times New Roman"/>
      <w:sz w:val="24"/>
      <w:szCs w:val="24"/>
    </w:rPr>
  </w:style>
  <w:style w:type="paragraph" w:styleId="TOC1">
    <w:name w:val="TOC 1"/>
    <w:basedOn w:val="Normal"/>
    <w:next w:val="Normal"/>
    <w:pPr>
      <w:spacing w:lineRule="auto" w:line="240" w:before="0" w:after="0"/>
      <w:ind w:left="0"/>
      <w:jc w:val="left"/>
    </w:pPr>
    <w:rPr>
      <w:rFonts w:ascii="Times New Roman" w:hAnsi="Times New Roman" w:eastAsia="Times New Roman" w:cs="Times New Roman"/>
      <w:sz w:val="24"/>
      <w:szCs w:val="24"/>
    </w:rPr>
  </w:style>
  <w:style w:type="paragraph" w:styleId="TOC2">
    <w:name w:val="TOC 2"/>
    <w:basedOn w:val="Normal"/>
    <w:next w:val="Normal"/>
    <w:pPr>
      <w:spacing w:lineRule="auto" w:line="240" w:before="0" w:after="0"/>
      <w:ind w:left="240"/>
      <w:jc w:val="left"/>
    </w:pPr>
    <w:rPr>
      <w:rFonts w:ascii="Times New Roman" w:hAnsi="Times New Roman" w:eastAsia="Times New Roman" w:cs="Times New Roman"/>
      <w:sz w:val="24"/>
      <w:szCs w:val="24"/>
    </w:rPr>
  </w:style>
  <w:style w:type="paragraph" w:styleId="TOC3">
    <w:name w:val="TOC 3"/>
    <w:basedOn w:val="Normal"/>
    <w:next w:val="Normal"/>
    <w:pPr>
      <w:spacing w:lineRule="auto" w:line="240" w:before="0" w:after="0"/>
      <w:ind w:left="480"/>
      <w:jc w:val="left"/>
    </w:pPr>
    <w:rPr>
      <w:rFonts w:ascii="Times New Roman" w:hAnsi="Times New Roman" w:eastAsia="Times New Roman" w:cs="Times New Roman"/>
      <w:sz w:val="24"/>
      <w:szCs w:val="24"/>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2026-10-02T11:54:24Z</dcterms:created>
  <dc:creator>Un-named</dc:creator>
  <dc:description/>
  <dc:language>en-US</dc:language>
  <cp:lastModifiedBy>Un-named</cp:lastModifiedBy>
  <dcterms:modified xsi:type="dcterms:W3CDTF">2026-10-02T11:54:24Z</dcterms:modified>
  <cp:revision>1</cp:revision>
  <dc:subject/>
  <dc:title/>
</cp:coreProperties>
</file>