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140"/>
        <w:jc w:val="both"/>
      </w:pPr>
      <w:r>
        <w:rPr>
          <w:i w:val="false"/>
          <w:iCs w:val="false"/>
          <w:sz w:val="22"/>
          <w:szCs w:val="22"/>
        </w:rPr>
        <w:t xml:space="preserve">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sont des propos notés pendant l'entretien et mis au propre le jour même, non des transcriptions d'enregistrement ; ceux qui sont traduits du kinyarwanda sont signalés, et la version originale les accompagne (§ 4.2.6).</w:t>
      </w:r>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6026"/>
            <w:tcMar>
              <w:top w:type="dxa" w:w="60"/>
              <w:left w:type="dxa" w:w="100"/>
              <w:bottom w:type="dxa" w:w="60"/>
              <w:right w:type="dxa" w:w="100"/>
            </w:tcMar>
          </w:tcPr>
          <w:p>
            <w:r>
              <w:rPr>
                <w:b w:val="false"/>
                <w:bCs w:val="false"/>
                <w:i w:val="false"/>
                <w:iCs w:val="false"/>
                <w:sz w:val="19"/>
                <w:szCs w:val="19"/>
              </w:rPr>
              <w:t xml:space="preserve">présent : 0 ; absent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w:t>
            </w:r>
          </w:p>
        </w:tc>
        <w:tc>
          <w:tcPr>
            <w:tcW w:type="dxa" w:w="6026"/>
            <w:tcMar>
              <w:top w:type="dxa" w:w="60"/>
              <w:left w:type="dxa" w:w="100"/>
              <w:bottom w:type="dxa" w:w="60"/>
              <w:right w:type="dxa" w:w="100"/>
            </w:tcMar>
          </w:tcPr>
          <w:p>
            <w:r>
              <w:rPr>
                <w:b w:val="false"/>
                <w:bCs w:val="false"/>
                <w:i w:val="false"/>
                <w:iCs w:val="false"/>
                <w:sz w:val="19"/>
                <w:szCs w:val="19"/>
              </w:rPr>
              <w:t xml:space="preserve">réalisée au laboratoire, sur bon de la CPN : 5 ; glucomètre réservé aux malades chroniques : 3 ; impossible (panne, bandelettes absentes ou périmées) : 6 ; pas de glucomètre : 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140"/>
        <w:jc w:val="both"/>
      </w:pPr>
      <w:r>
        <w:rPr>
          <w:i w:val="false"/>
          <w:iCs w:val="false"/>
          <w:sz w:val="22"/>
          <w:szCs w:val="22"/>
        </w:rPr>
        <w:t xml:space="preserve">Le tensiomètre était présent en salle de CPN dans les 15 centres. Un glucomètre existait dans 14 centres, mais jamais en salle de CPN : il était au laboratoire ou à la consultation des maladies chroniques. La glycémie de la première CPN, prévue pour toutes les femmes, n'était effectivement réalisée, sur bon de la CPN, que dans 5 centres ; ailleurs, le glucomètre était réservé aux malades chroniques (3), inutilisable (6) ou absent (1). Aucun centre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tension est mesurée à chaque visite ; la glycémie, prévue pour toutes à la première CPN, se fait ailleurs, au laboratoire ou à la consultation des maladies chroniques, avec des bandelettes que la CPN ne gère pas, et elle n'est plus refaite ensuite que sur des signes d'appel. Là où le circuit est fermé à la femme enceinte, même le test de la première CPN disparaît.</w:t>
      </w:r>
    </w:p>
    <w:p>
      <w:pPr>
        <w:spacing w:after="140"/>
        <w:jc w:val="both"/>
      </w:pPr>
      <w:r>
        <w:rPr>
          <w:i w:val="false"/>
          <w:iCs w:val="false"/>
          <w:sz w:val="22"/>
          <w:szCs w:val="22"/>
        </w:rPr>
        <w:t xml:space="preserve">Même la tension connaît des omissions faute d'appareil disponible (9 participants), et le savoir glycémique s'érode quand il n'est pas pratiqué (4). Pour la glycémie, aucun ne décrit un geste réalisé en salle de CPN ; 12 décrivent le circuit du bon, du laboratoire et des bandelettes réservées d'abord aux malades chroniques.</w:t>
      </w:r>
    </w:p>
    <w:p>
      <w:pPr>
        <w:spacing w:after="40" w:before="60"/>
        <w:ind w:left="567" w:right="567"/>
        <w:jc w:val="both"/>
      </w:pPr>
      <w:r>
        <w:rPr>
          <w:i/>
          <w:iCs/>
          <w:sz w:val="21"/>
          <w:szCs w:val="21"/>
        </w:rPr>
        <w:t xml:space="preserve">« Le sucre, normalement c'est pour toutes à la première visite, c'est sur la fiche. Mais l'appareil est au laboratoire, pour les malades chroniques, et les bandelettes vont d'abord à eux. Pour les femmes enceintes, ici, la case du sucre reste presque toujours vide.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Là où le circuit est ouvert, le test de la première CPN est fait à toutes, mais il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Une femme normale au premier trimestre n'est donc plus suivie sur ce point. Hors de la CPN, les campagnes de dépistage des maladies non transmissibles mesurent la tension et la glycémie de toute personne qui se présente, femmes enceintes comprises, sans que le résultat revienne à la CPN (2 participants) : le dépistage est coupé en deux à l'intérieur du centre, et en trois au-delà.</w:t>
      </w:r>
    </w:p>
    <w:p>
      <w:pPr>
        <w:spacing w:after="40" w:before="60"/>
        <w:ind w:left="567" w:right="567"/>
        <w:jc w:val="both"/>
      </w:pPr>
      <w:r>
        <w:rPr>
          <w:i/>
          <w:iCs/>
          <w:sz w:val="21"/>
          <w:szCs w:val="21"/>
        </w:rPr>
        <w:t xml:space="preserve">« À la première visite, toutes font le sucre avec le bilan. Après, plus rien, sauf si quelque chose m'inquiète. Une femme normale à trois mois, je ne sais plus rien d'elle à sept mois.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14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14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générale pour toutes les présentes, sur la nutrition, les signes de danger, le planning familial ou la mutuelle ; la tension n'y apparaît qu'à travers les signes de danger (thème observé dans 5 centres) et le sucre presque jamais. Elle commence avant l'arrivée des femmes des collines éloignées. Quatre participants discutent de son usage : pour les uns, elle « prépare le terrain » sans remplacer la restitution du résultat ; pour d'autres, les jours d'affluence, elle en tient lieu.</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14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14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140"/>
        <w:jc w:val="both"/>
      </w:pPr>
      <w:r>
        <w:rPr>
          <w:i w:val="false"/>
          <w:iCs w:val="false"/>
          <w:sz w:val="22"/>
          <w:szCs w:val="22"/>
        </w:rPr>
        <w:t xml:space="preserve">Définition. L'équipement rend possible le test de la première CPN, mais ne règle ni le contrôle au troisième trimestre ni l'explication, et il est réparti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spacing w:after="40" w:before="60"/>
        <w:ind w:left="567" w:right="567"/>
        <w:jc w:val="both"/>
      </w:pPr>
      <w:r>
        <w:rPr>
          <w:i/>
          <w:iCs/>
          <w:sz w:val="21"/>
          <w:szCs w:val="21"/>
        </w:rPr>
        <w:t xml:space="preserve">« Le protocole parle d'une épreuve à ce moment-là, mais ici personne ne la fait : il faudrait que la femme vienne à jeun et reste deux heures. »</w:t>
      </w:r>
    </w:p>
    <w:p>
      <w:pPr>
        <w:spacing w:after="160"/>
        <w:ind w:left="567" w:right="567"/>
        <w:jc w:val="right"/>
      </w:pPr>
      <w:r>
        <w:rPr>
          <w:color w:val="444444"/>
          <w:sz w:val="19"/>
          <w:szCs w:val="19"/>
        </w:rPr>
        <w:t xml:space="preserve">(P11, sage-femme)</w:t>
      </w:r>
    </w:p>
    <w:p>
      <w:pPr>
        <w:pStyle w:val="Heading3"/>
        <w:spacing w:after="100" w:before="180"/>
      </w:pPr>
      <w:r>
        <w:t xml:space="preserve">5.3.4.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Deux dispositifs nationaux pèsent sur ce parcours. La venue du conjoint à la première CPN, liée au test VIH du couple, est comprise comme une condition d'accueil : des femmes attendent qu'il soit disponible et arrivent à quatre ou cinq mois, ce qui retarde aussi la glycémie (2 participantes). Les aides ciblées de l'ubudehe — mutuelle prise en charge, farine Shisha Kibondo — fidélisent les femmes des ménages les plus pauvres ; la difficulté se déplace vers celles qui sont juste au-dessus du seuil (2 participants).</w:t>
      </w:r>
    </w:p>
    <w:p>
      <w:pPr>
        <w:spacing w:after="40" w:before="60"/>
        <w:ind w:left="567" w:right="567"/>
        <w:jc w:val="both"/>
      </w:pPr>
      <w:r>
        <w:rPr>
          <w:i/>
          <w:iCs/>
          <w:sz w:val="21"/>
          <w:szCs w:val="21"/>
        </w:rPr>
        <w:t xml:space="preserve">« Les plus difficiles, ce sont celles juste au-dessus : pas assez pauvres pour être aidées, pas assez riches pour payer la mutuelle à temps. Celles-là, on les perd.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pStyle w:val="Heading3"/>
        <w:spacing w:after="100" w:before="180"/>
      </w:pPr>
      <w:r>
        <w:t xml:space="preserve">5.3.5. Conditions sociales perçues</w:t>
      </w:r>
    </w:p>
    <w:p>
      <w:pPr>
        <w:spacing w:after="140"/>
        <w:jc w:val="both"/>
      </w:pPr>
      <w:r>
        <w:rPr>
          <w:i w:val="false"/>
          <w:iCs w:val="false"/>
          <w:sz w:val="22"/>
          <w:szCs w:val="22"/>
        </w:rPr>
        <w:t xml:space="preserve">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5.3.6.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14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140"/>
        <w:jc w:val="both"/>
      </w:pPr>
      <w:r>
        <w:rPr>
          <w:i w:val="false"/>
          <w:iCs w:val="false"/>
          <w:sz w:val="22"/>
          <w:szCs w:val="22"/>
        </w:rPr>
        <w:t xml:space="preserve">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keepNext/>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keepNext/>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keepNext/>
              <w:jc w:val="left"/>
            </w:pPr>
            <w:r>
              <w:rPr>
                <w:b/>
                <w:bCs/>
                <w:sz w:val="19"/>
                <w:szCs w:val="19"/>
              </w:rPr>
              <w:t xml:space="preserve">Sages-femmes (n = 10)</w:t>
            </w:r>
          </w:p>
        </w:tc>
        <w:tc>
          <w:tcPr>
            <w:tcW w:type="dxa" w:w="1400"/>
            <w:shd w:fill="E8EDF2" w:color="auto" w:val="clear"/>
            <w:tcMar>
              <w:top w:type="dxa" w:w="60"/>
              <w:left w:type="dxa" w:w="100"/>
              <w:bottom w:type="dxa" w:w="60"/>
              <w:right w:type="dxa" w:w="100"/>
            </w:tcMar>
          </w:tcPr>
          <w:p>
            <w:pPr>
              <w:keepNext/>
              <w:jc w:val="left"/>
            </w:pPr>
            <w:r>
              <w:rPr>
                <w:b/>
                <w:bCs/>
                <w:sz w:val="19"/>
                <w:szCs w:val="19"/>
              </w:rPr>
              <w:t xml:space="preserve">Total (n = 20)</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16</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Refus de juger</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2</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7</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6</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5</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11</w:t>
            </w:r>
          </w:p>
        </w:tc>
      </w:tr>
      <w:tr>
        <w:trPr>
          <w:tblHeader w:val="off"/>
        </w:trPr>
        <w:tc>
          <w:tcPr>
            <w:tcW w:type="dxa" w:w="9026"/>
            <w:gridSpan w:val="4"/>
            <w:shd w:fill="F4F6F8" w:color="auto" w:val="clear"/>
            <w:tcMar>
              <w:top w:type="dxa" w:w="60"/>
              <w:left w:type="dxa" w:w="100"/>
              <w:bottom w:type="dxa" w:w="60"/>
              <w:right w:type="dxa" w:w="100"/>
            </w:tcMar>
          </w:tcPr>
          <w:p>
            <w:pPr>
              <w:keepNext/>
            </w:pPr>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3</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2</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4</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6</w:t>
            </w:r>
          </w:p>
        </w:tc>
      </w:tr>
      <w:tr>
        <w:trPr>
          <w:tblHeader w:val="off"/>
        </w:trPr>
        <w:tc>
          <w:tcPr>
            <w:tcW w:type="dxa" w:w="4626"/>
            <w:tcMar>
              <w:top w:type="dxa" w:w="60"/>
              <w:left w:type="dxa" w:w="100"/>
              <w:bottom w:type="dxa" w:w="60"/>
              <w:right w:type="dxa" w:w="100"/>
            </w:tcMar>
          </w:tcPr>
          <w:p>
            <w:pPr>
              <w:keepNext w:val="false"/>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1</w:t>
            </w:r>
          </w:p>
        </w:tc>
        <w:tc>
          <w:tcPr>
            <w:tcW w:type="dxa" w:w="1500"/>
            <w:tcMar>
              <w:top w:type="dxa" w:w="60"/>
              <w:left w:type="dxa" w:w="100"/>
              <w:bottom w:type="dxa" w:w="60"/>
              <w:right w:type="dxa" w:w="100"/>
            </w:tcMar>
          </w:tcPr>
          <w:p>
            <w:pPr>
              <w:keepNext w:val="false"/>
              <w:jc w:val="center"/>
            </w:pPr>
            <w:r>
              <w:rPr>
                <w:b w:val="false"/>
                <w:bCs w:val="false"/>
                <w:sz w:val="19"/>
                <w:szCs w:val="19"/>
              </w:rPr>
              <w:t xml:space="preserve">0</w:t>
            </w:r>
          </w:p>
        </w:tc>
        <w:tc>
          <w:tcPr>
            <w:tcW w:type="dxa" w:w="1400"/>
            <w:tcMar>
              <w:top w:type="dxa" w:w="60"/>
              <w:left w:type="dxa" w:w="100"/>
              <w:bottom w:type="dxa" w:w="60"/>
              <w:right w:type="dxa" w:w="100"/>
            </w:tcMar>
          </w:tcPr>
          <w:p>
            <w:pPr>
              <w:keepNext w:val="false"/>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40" w:before="60"/>
        <w:ind w:left="567" w:right="567"/>
        <w:jc w:val="both"/>
      </w:pPr>
      <w:r>
        <w:rPr>
          <w:i/>
          <w:iCs/>
          <w:sz w:val="21"/>
          <w:szCs w:val="21"/>
        </w:rPr>
        <w:t xml:space="preserve">«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140"/>
        <w:jc w:val="both"/>
      </w:pPr>
      <w:r>
        <w:rPr>
          <w:i w:val="false"/>
          <w:iCs w:val="false"/>
          <w:sz w:val="22"/>
          <w:szCs w:val="22"/>
        </w:rPr>
        <w:t xml:space="preserve">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 D'autres proposent d'inscrire la tension et le sucre au programme des séances d'éducation, ou de passer par l'umugoroba w'ababyeyi, le forum villageois des parents, pour atteindre les maris et les familles (2).</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pStyle w:val="Heading2"/>
        <w:spacing w:after="120" w:before="220"/>
      </w:pPr>
      <w:r>
        <w:t xml:space="preserve">5.5. Triangulation et synthèse</w:t>
      </w:r>
    </w:p>
    <w:p>
      <w:pPr>
        <w:spacing w:after="140"/>
        <w:jc w:val="both"/>
      </w:pPr>
      <w:r>
        <w:rPr>
          <w:i w:val="false"/>
          <w:iCs w:val="false"/>
          <w:sz w:val="22"/>
          <w:szCs w:val="22"/>
        </w:rPr>
        <w:t xml:space="preserve">Sur les 15 centres observés, 8 ont fait l'objet d'un constat de confrontation entre propos et observation : 6 concordances et 2 écarts. L'observation a situé le glucomètre au laboratoire, confirmé le circuit de la glycémie là où il fonctionne et corroboré l'effet de registre du thème 6 et le contenu des séances d'éducation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spacing w:after="140"/>
        <w:jc w:val="both"/>
      </w:pPr>
      <w:r>
        <w:rPr>
          <w:i w:val="false"/>
          <w:iCs w:val="false"/>
          <w:sz w:val="22"/>
          <w:szCs w:val="22"/>
        </w:rPr>
        <w:t xml:space="preserve">Le tableau VII rassemble les sept thèmes. Ils décrivent un dépistage dont la réalisation dépend moins de la volonté des professionnels que de conditions qu'ils ne maîtrisent pas — le circuit de la glycémie et son coût quand elle est référée hors du centre, le temps, le véhicule, l'indicateur —, mais aussi d'une part qui leur revient : l'explication.</w:t>
      </w:r>
    </w:p>
    <w:p>
      <w:pPr>
        <w:keepNext/>
        <w:spacing w:after="80" w:before="200"/>
      </w:pPr>
      <w:r>
        <w:rPr>
          <w:b/>
          <w:bCs/>
          <w:sz w:val="20"/>
          <w:szCs w:val="20"/>
        </w:rPr>
        <w:t xml:space="preserve">Tableau VII.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mesurée à chaque visite ; la glycémie, prévue pour toutes à la première CPN, dépend du laboratoire et n'est pas refaite à 24-28 semaines ; là où le circuit est fermé, même le test initial disparaît.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l'attente du conjoint et l'effet de seuil de l'ubudehe pèsent sur le parcours.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rend possible le test initial, mais ne règle ni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2026-10-03T04:01:25.053Z</dcterms:created>
  <dcterms:modified xsi:type="dcterms:W3CDTF">2026-10-03T04:01:25.053Z</dcterms:modified>
</cp:coreProperties>
</file>

<file path=docProps/custom.xml><?xml version="1.0" encoding="utf-8"?>
<Properties xmlns="http://schemas.openxmlformats.org/officeDocument/2006/custom-properties" xmlns:vt="http://schemas.openxmlformats.org/officeDocument/2006/docPropsVTypes"/>
</file>