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VII) : les tableaux I à III figurent au chapitre 4 (Cadre et méthodes). Les annexes citées sont celles du mémoire.</w:t>
      </w:r>
    </w:p>
    <w:p>
      <w:pPr>
        <w:pStyle w:val="Heading1"/>
        <w:spacing w:before="280" w:after="160"/>
        <w:rPr/>
      </w:pPr>
      <w:r>
        <w:rPr/>
        <w:t>5. RÉSULTATS</w:t>
      </w:r>
    </w:p>
    <w:p>
      <w:pPr>
        <w:pStyle w:val="Normal"/>
        <w:spacing w:before="0" w:after="14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140"/>
        <w:jc w:val="both"/>
        <w:rPr/>
      </w:pPr>
      <w:r>
        <w:rPr>
          <w:i w:val="false"/>
          <w:iCs w:val="false"/>
        </w:rPr>
        <w:t>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before="220" w:after="120"/>
        <w:rPr/>
      </w:pPr>
      <w:r>
        <w:rPr/>
        <w:t>5.1. Caractéristiques des participants et des centres</w:t>
      </w:r>
    </w:p>
    <w:p>
      <w:pPr>
        <w:pStyle w:val="Normal"/>
        <w:spacing w:before="0" w:after="14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présent : 0 ; absent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réalisée au laboratoire, sur bon de la CPN : 5 ; glucomètre réservé aux malades chroniques : 3 ; impossible (panne, bandelettes absentes ou périmées) : 6 ; pas de glucomètre : 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140"/>
        <w:jc w:val="both"/>
        <w:rPr/>
      </w:pPr>
      <w:r>
        <w:rPr>
          <w:i w:val="false"/>
          <w:iCs w:val="false"/>
        </w:rPr>
        <w:t>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14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pStyle w:val="Normal"/>
        <w:spacing w:lineRule="auto" w:line="240" w:before="60" w:after="40"/>
        <w:ind w:left="567" w:right="567"/>
        <w:jc w:val="both"/>
        <w:rPr>
          <w:sz w:val="24"/>
          <w:szCs w:val="24"/>
        </w:rPr>
      </w:pPr>
      <w:r>
        <w:rPr>
          <w:i/>
          <w:iCs/>
          <w:sz w:val="24"/>
          <w:szCs w:val="24"/>
        </w:rPr>
        <w:t>« La tension, je peux seulement la trouver et l'envoyer ailleurs. Le sucre, je ne peux même pas le trouver. Plus on est impuissant, moins on y pense — et ça, c'est grave. »</w:t>
      </w:r>
    </w:p>
    <w:p>
      <w:pPr>
        <w:pStyle w:val="Normal"/>
        <w:spacing w:lineRule="auto" w:line="240" w:before="0" w:after="160"/>
        <w:ind w:left="567" w:right="567"/>
        <w:jc w:val="right"/>
        <w:rPr>
          <w:sz w:val="24"/>
          <w:szCs w:val="24"/>
        </w:rPr>
      </w:pPr>
      <w:r>
        <w:rPr>
          <w:sz w:val="24"/>
          <w:szCs w:val="24"/>
        </w:rPr>
        <w:t>(P06, sage-femme — traduit du kinyarwanda)</w:t>
      </w:r>
    </w:p>
    <w:p>
      <w:pPr>
        <w:pStyle w:val="Heading3"/>
        <w:spacing w:before="180" w:after="100"/>
        <w:rPr/>
      </w:pPr>
      <w:r>
        <w:rPr/>
        <w:t>5.2.2. Thème 1 — Un dépistage coupé en deux</w:t>
      </w:r>
    </w:p>
    <w:p>
      <w:pPr>
        <w:pStyle w:val="Normal"/>
        <w:spacing w:before="0" w:after="140"/>
        <w:jc w:val="both"/>
        <w:rPr/>
      </w:pPr>
      <w:r>
        <w:rPr>
          <w:i w:val="false"/>
          <w:iCs w:val="false"/>
        </w:rPr>
        <w:t>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pStyle w:val="Normal"/>
        <w:spacing w:before="0" w:after="140"/>
        <w:jc w:val="both"/>
        <w:rPr/>
      </w:pPr>
      <w:r>
        <w:rPr>
          <w:i w:val="false"/>
          <w:iCs w:val="false"/>
        </w:rPr>
        <w:t>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 Hors de la CPN, les campagnes de dépistage des maladies non transmissibles mesurent la tension et la glycémie de toute personne qui se présente, femmes enceintes comprises, sans que le résultat revienne à la CPN (2 participants) : le dépistage est coupé en deux à l'intérieur du centre, et en trois au-delà.</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3"/>
        <w:spacing w:before="180" w:after="100"/>
        <w:rPr/>
      </w:pPr>
      <w:r>
        <w:rPr/>
        <w:t>5.2.3. Thème 2 — Expliquer moins à celles qui savent le moins</w:t>
      </w:r>
    </w:p>
    <w:p>
      <w:pPr>
        <w:pStyle w:val="Normal"/>
        <w:spacing w:before="0" w:after="14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14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14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lineRule="auto" w:line="240" w:before="60" w:after="40"/>
        <w:ind w:left="567" w:right="567"/>
        <w:jc w:val="both"/>
        <w:rPr>
          <w:sz w:val="24"/>
          <w:szCs w:val="24"/>
        </w:rPr>
      </w:pPr>
      <w:r>
        <w:rPr>
          <w:i/>
          <w:iCs/>
          <w:sz w:val="24"/>
          <w:szCs w:val="24"/>
        </w:rPr>
        <w:t>« Avec l'affiche, j'explique pareil à toutes, c'est ça l'avantage : l'image est la même pour celle qui sait lire et pour celle qui ne sait pas. »</w:t>
      </w:r>
    </w:p>
    <w:p>
      <w:pPr>
        <w:pStyle w:val="Normal"/>
        <w:spacing w:lineRule="auto" w:line="240" w:before="0" w:after="160"/>
        <w:ind w:left="567" w:right="567"/>
        <w:jc w:val="right"/>
        <w:rPr>
          <w:sz w:val="24"/>
          <w:szCs w:val="24"/>
        </w:rPr>
      </w:pPr>
      <w:r>
        <w:rPr>
          <w:sz w:val="24"/>
          <w:szCs w:val="24"/>
        </w:rPr>
        <w:t>(P15, sage-femme — traduit du kinyarwanda)</w:t>
      </w:r>
    </w:p>
    <w:p>
      <w:pPr>
        <w:pStyle w:val="Normal"/>
        <w:spacing w:before="0" w:after="14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14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14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140"/>
        <w:jc w:val="both"/>
        <w:rPr/>
      </w:pPr>
      <w:r>
        <w:rPr>
          <w:i w:val="false"/>
          <w:iCs w:val="false"/>
        </w:rPr>
        <w:t>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pStyle w:val="Normal"/>
        <w:spacing w:lineRule="auto" w:line="240" w:before="60" w:after="40"/>
        <w:ind w:left="567" w:right="567"/>
        <w:jc w:val="both"/>
        <w:rPr>
          <w:sz w:val="24"/>
          <w:szCs w:val="24"/>
        </w:rPr>
      </w:pPr>
      <w:r>
        <w:rPr>
          <w:i/>
          <w:iCs/>
          <w:sz w:val="24"/>
          <w:szCs w:val="24"/>
        </w:rPr>
        <w:t>« Le protocole parle d'une épreuve à ce moment-là, mais ici personne ne la fait : il faudrait que la femme vienne à jeun et reste deux heures.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5.3.4. Thème 3 — Trouver sans pouvoir suivre</w:t>
      </w:r>
    </w:p>
    <w:p>
      <w:pPr>
        <w:pStyle w:val="Normal"/>
        <w:spacing w:before="0" w:after="140"/>
        <w:jc w:val="both"/>
        <w:rPr/>
      </w:pPr>
      <w:r>
        <w:rPr>
          <w:i w:val="false"/>
          <w:iCs w:val="false"/>
        </w:rPr>
        <w:t>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pStyle w:val="Normal"/>
        <w:spacing w:lineRule="auto" w:line="240" w:before="60" w:after="40"/>
        <w:ind w:left="567" w:right="567"/>
        <w:jc w:val="both"/>
        <w:rPr>
          <w:sz w:val="24"/>
          <w:szCs w:val="24"/>
        </w:rPr>
      </w:pPr>
      <w:r>
        <w:rPr>
          <w:i/>
          <w:iCs/>
          <w:sz w:val="24"/>
          <w:szCs w:val="24"/>
        </w:rPr>
        <w:t>« Les plus difficiles, ce sont celles juste au-dessus : pas assez pauvres pour être aidées, pas assez riches pour payer la mutuelle à temps. Celles-là, on les perd. »</w:t>
      </w:r>
    </w:p>
    <w:p>
      <w:pPr>
        <w:pStyle w:val="Normal"/>
        <w:spacing w:lineRule="auto" w:line="240" w:before="0" w:after="160"/>
        <w:ind w:left="567" w:right="567"/>
        <w:jc w:val="right"/>
        <w:rPr>
          <w:sz w:val="24"/>
          <w:szCs w:val="24"/>
        </w:rPr>
      </w:pPr>
      <w:r>
        <w:rPr>
          <w:sz w:val="24"/>
          <w:szCs w:val="24"/>
        </w:rPr>
        <w:t>(P06, sage-femme — traduit du kinyarwanda)</w:t>
      </w:r>
    </w:p>
    <w:p>
      <w:pPr>
        <w:pStyle w:val="Normal"/>
        <w:spacing w:lineRule="auto" w:line="240" w:before="60" w:after="40"/>
        <w:ind w:left="567" w:right="567"/>
        <w:jc w:val="both"/>
        <w:rPr>
          <w:sz w:val="24"/>
          <w:szCs w:val="24"/>
        </w:rPr>
      </w:pPr>
      <w:r>
        <w:rPr>
          <w:i/>
          <w:iCs/>
          <w:sz w:val="24"/>
          <w:szCs w:val="24"/>
        </w:rPr>
        <w:t>« Aujourd'hui je réfère dans le vide. Et tant que je réfère dans le vide, mon dépistage s'arrête à la détection : ce n'est pas un dépistage, c'est un signalement.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5.3.5. Conditions sociales perçues</w:t>
      </w:r>
    </w:p>
    <w:p>
      <w:pPr>
        <w:pStyle w:val="Normal"/>
        <w:spacing w:before="0" w:after="140"/>
        <w:jc w:val="both"/>
        <w:rPr/>
      </w:pPr>
      <w:r>
        <w:rPr>
          <w:i w:val="false"/>
          <w:iCs w:val="false"/>
        </w:rPr>
        <w:t>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Normal"/>
        <w:spacing w:lineRule="auto" w:line="240" w:before="60" w:after="40"/>
        <w:ind w:left="567" w:right="567"/>
        <w:jc w:val="both"/>
        <w:rPr>
          <w:sz w:val="24"/>
          <w:szCs w:val="24"/>
        </w:rPr>
      </w:pPr>
      <w:r>
        <w:rPr>
          <w:i/>
          <w:iCs/>
          <w:sz w:val="24"/>
          <w:szCs w:val="24"/>
        </w:rPr>
        <w:t>« Les différences qui comptent pour le dépistage, ce sont des situations, pas des catégories de femmes : avoir de l'argent pour le transport aujourd'hui, avoir quelqu'un pour garder les enfants, avoir le mari d'accord. »</w:t>
      </w:r>
    </w:p>
    <w:p>
      <w:pPr>
        <w:pStyle w:val="Normal"/>
        <w:spacing w:lineRule="auto" w:line="240" w:before="0" w:after="160"/>
        <w:ind w:left="567" w:right="567"/>
        <w:jc w:val="right"/>
        <w:rPr>
          <w:sz w:val="24"/>
          <w:szCs w:val="24"/>
        </w:rPr>
      </w:pPr>
      <w:r>
        <w:rPr>
          <w:sz w:val="24"/>
          <w:szCs w:val="24"/>
        </w:rPr>
        <w:t>(P18, infirmière — traduit du kinyarwanda)</w:t>
      </w:r>
    </w:p>
    <w:p>
      <w:pPr>
        <w:pStyle w:val="Heading3"/>
        <w:spacing w:before="180" w:after="100"/>
        <w:rPr/>
      </w:pPr>
      <w:r>
        <w:rPr/>
        <w:t>5.3.6. Thème 6 — Le registre comme écran</w:t>
      </w:r>
    </w:p>
    <w:p>
      <w:pPr>
        <w:pStyle w:val="Normal"/>
        <w:spacing w:before="0" w:after="14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14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140"/>
        <w:jc w:val="both"/>
        <w:rPr/>
      </w:pPr>
      <w:r>
        <w:rPr>
          <w:i w:val="false"/>
          <w:iCs w:val="false"/>
        </w:rPr>
        <w:t>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pStyle w:val="Normal"/>
        <w:keepNext w:val="true"/>
        <w:spacing w:before="200" w:after="80"/>
        <w:rPr/>
      </w:pPr>
      <w:r>
        <w:rPr>
          <w:b/>
          <w:bCs/>
        </w:rPr>
        <w:t>Tableau VI. Portée reconnue en équité : jugements et attributions</w:t>
      </w:r>
    </w:p>
    <w:tbl>
      <w:tblPr>
        <w:tblW w:w="8787" w:type="dxa"/>
        <w:jc w:val="left"/>
        <w:tblInd w:w="0" w:type="dxa"/>
        <w:tblLayout w:type="fixed"/>
        <w:tblCellMar>
          <w:top w:w="60" w:type="dxa"/>
          <w:left w:w="100" w:type="dxa"/>
          <w:bottom w:w="60" w:type="dxa"/>
          <w:right w:w="100" w:type="dxa"/>
        </w:tblCellMar>
      </w:tblPr>
      <w:tblGrid>
        <w:gridCol w:w="4504"/>
        <w:gridCol w:w="1459"/>
        <w:gridCol w:w="1461"/>
        <w:gridCol w:w="1362"/>
      </w:tblGrid>
      <w:tr>
        <w:trPr>
          <w:tblHeader w:val="true"/>
        </w:trPr>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Catégorie (codes de la famille 8)</w:t>
            </w:r>
          </w:p>
        </w:tc>
        <w:tc>
          <w:tcPr>
            <w:tcW w:w="1459"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Infirmiers (n = 10)</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Sages-femmes (n = 10)</w:t>
            </w:r>
          </w:p>
        </w:tc>
        <w:tc>
          <w:tcPr>
            <w:tcW w:w="1362"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Total (n = 20)</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Jugement porté sur les différences décrites</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inacceptable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normalisation ou résignation</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Refus de juger</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Attribution de la responsabilité</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attribuée au système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13</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reconnue comme sienne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11</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Facteurs d'inégalité nés du codage inductif</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L'heure d'arrivée comme facteur d'inégalité</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3</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Le lieu décide de ce qu'on reçoit</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sz w:val="22"/>
                <w:szCs w:val="22"/>
              </w:rPr>
              <w:t>Refus de catégoriser les femmes</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r>
    </w:tbl>
    <w:p>
      <w:pPr>
        <w:pStyle w:val="Normal"/>
        <w:spacing w:before="60" w:after="200"/>
        <w:rPr>
          <w:sz w:val="22"/>
          <w:szCs w:val="22"/>
        </w:rPr>
      </w:pPr>
      <w:r>
        <w:rPr>
          <w:i/>
          <w:iCs/>
          <w:sz w:val="22"/>
          <w:szCs w:val="22"/>
        </w:rPr>
        <w:t>Source : codage des entretiens (Q19 et recoupements Q11 à Q14) ; un participant peut relever de plusieurs lignes.</w:t>
      </w:r>
    </w:p>
    <w:p>
      <w:pPr>
        <w:pStyle w:val="Normal"/>
        <w:spacing w:lineRule="auto" w:line="240" w:before="60" w:after="40"/>
        <w:ind w:left="567" w:right="567"/>
        <w:jc w:val="both"/>
        <w:rPr>
          <w:sz w:val="24"/>
          <w:szCs w:val="24"/>
        </w:rPr>
      </w:pPr>
      <w:r>
        <w:rPr>
          <w:i/>
          <w:iCs/>
          <w:sz w:val="24"/>
          <w:szCs w:val="24"/>
        </w:rPr>
        <w:t>« Et il y a l'inégalité qui vient de moi — le temps que je donne, les mots que je choisis selon la personne que j'ai devant moi : celle-là, elle est à moi, et c'est la seule sur laquelle j'ai prise. »</w:t>
      </w:r>
    </w:p>
    <w:p>
      <w:pPr>
        <w:pStyle w:val="Normal"/>
        <w:spacing w:lineRule="auto" w:line="240" w:before="0" w:after="160"/>
        <w:ind w:left="567" w:right="567"/>
        <w:jc w:val="right"/>
        <w:rPr>
          <w:sz w:val="24"/>
          <w:szCs w:val="24"/>
        </w:rPr>
      </w:pPr>
      <w:r>
        <w:rPr>
          <w:sz w:val="24"/>
          <w:szCs w:val="24"/>
        </w:rPr>
        <w:t>(P07, sage-femme)</w:t>
      </w:r>
    </w:p>
    <w:p>
      <w:pPr>
        <w:pStyle w:val="Normal"/>
        <w:spacing w:before="0" w:after="140"/>
        <w:jc w:val="both"/>
        <w:rPr/>
      </w:pPr>
      <w:r>
        <w:rPr>
          <w:i w:val="false"/>
          <w:iCs w:val="false"/>
        </w:rPr>
        <w:t>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pStyle w:val="Normal"/>
        <w:spacing w:lineRule="auto" w:line="240" w:before="60" w:after="40"/>
        <w:ind w:left="567" w:right="567"/>
        <w:jc w:val="both"/>
        <w:rPr>
          <w:sz w:val="24"/>
          <w:szCs w:val="24"/>
        </w:rPr>
      </w:pPr>
      <w:r>
        <w:rPr>
          <w:i/>
          <w:iCs/>
          <w:sz w:val="24"/>
          <w:szCs w:val="24"/>
        </w:rPr>
        <w:t>« Une seule ligne dans le rapport mensuel : nombre de femmes dont la tension a été mesurée, nombre de tensions élevées trouvées, nombre référées. »</w:t>
      </w:r>
    </w:p>
    <w:p>
      <w:pPr>
        <w:pStyle w:val="Normal"/>
        <w:spacing w:lineRule="auto" w:line="240" w:before="0" w:after="160"/>
        <w:ind w:left="567" w:right="567"/>
        <w:jc w:val="right"/>
        <w:rPr>
          <w:sz w:val="24"/>
          <w:szCs w:val="24"/>
        </w:rPr>
      </w:pPr>
      <w:r>
        <w:rPr>
          <w:sz w:val="24"/>
          <w:szCs w:val="24"/>
        </w:rPr>
        <w:t>(P09, infirmière — traduit du kinyarwanda)</w:t>
      </w:r>
    </w:p>
    <w:p>
      <w:pPr>
        <w:pStyle w:val="Heading2"/>
        <w:spacing w:before="220" w:after="120"/>
        <w:rPr/>
      </w:pPr>
      <w:r>
        <w:rPr/>
        <w:t>5.5. Triangulation et synthèse</w:t>
      </w:r>
    </w:p>
    <w:p>
      <w:pPr>
        <w:pStyle w:val="Normal"/>
        <w:spacing w:before="0" w:after="140"/>
        <w:jc w:val="both"/>
        <w:rPr/>
      </w:pPr>
      <w:r>
        <w:rPr>
          <w:i w:val="false"/>
          <w:iCs w:val="false"/>
        </w:rPr>
        <w:t>Sur les 15 centres observés, 8 ont fait l'objet d'un constat de confrontation entre propos et observation : 6 concordances et 2 écarts. L'observation a situé le glucomètre au laboratoire, confirmé le circuit de la glycémie là où il fonctionne et corroboré l'effet de registre du thème 6 et le contenu des séances d'éducation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pStyle w:val="Normal"/>
        <w:spacing w:before="0" w:after="140"/>
        <w:jc w:val="both"/>
        <w:rPr/>
      </w:pPr>
      <w:r>
        <w:rPr>
          <w:i w:val="false"/>
          <w:iCs w:val="false"/>
        </w:rPr>
        <w:t>Le tableau VII rassemble les sept thèmes. Ils décrivent un dépistage dont la réalisation dépend moins de la volonté des professionnels que de conditions qu'ils ne maîtrisent pas — le circuit de la glycémie et son coût quand elle est référée hors du centre, le temps, le véhicule, l'indicateur —, mais aussi d'une part qui leur revient : l'explication.</w:t>
      </w:r>
    </w:p>
    <w:p>
      <w:pPr>
        <w:pStyle w:val="Normal"/>
        <w:keepNext w:val="true"/>
        <w:spacing w:before="200" w:after="80"/>
        <w:rPr/>
      </w:pPr>
      <w:r>
        <w:rPr>
          <w:b/>
          <w:bCs/>
        </w:rPr>
        <w:t>Tableau VII.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11</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2026-10-03T04:01:11Z</dcterms:created>
  <dc:creator>Un-named</dc:creator>
  <dc:description/>
  <dc:language>en-US</dc:language>
  <cp:lastModifiedBy>Un-named</cp:lastModifiedBy>
  <dcterms:modified xsi:type="dcterms:W3CDTF">2026-10-03T04:01:11Z</dcterms:modified>
  <cp:revision>1</cp:revision>
  <dc:subject/>
  <dc:title/>
</cp:coreProperties>
</file>