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14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à la première CPN pour toutes : appuyée sur Schmidt et al. (2021, texte intégral : le diabète fait partie des affections recherchées chez toutes à la première CPN et cochées au registre de maternité) ; absence de dépistage à 24-28 semaines : appuyée sur le protocole de 2012 cité par Meharry (2019). Confirmer dans les directives nationales de CPN (RBC, 2021) le contenu exact du bilan de la première CPN avant de l'écrire comme un fait dans le mémoire réel.</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et les citations longues en retrait (12 pt, interligne simple) font exception : à confronter au document des règles de rédaction de l'ENATSE.</w:t>
      </w:r>
    </w:p>
    <w:p>
      <w:pPr>
        <w:pStyle w:val="ListParagraph"/>
        <w:numPr>
          <w:ilvl w:val="0"/>
          <w:numId w:val="1"/>
        </w:numPr>
        <w:spacing w:after="80"/>
      </w:pPr>
      <w:r>
        <w:rPr>
          <w:sz w:val="22"/>
          <w:szCs w:val="22"/>
        </w:rPr>
        <w:t xml:space="preserve">Limite de 70 pages : le corps du mémoire (de l'introduction à la conclusion) compte 45 pages ; le document entier, de la page de garde à l'abstract, en compte 85 depuis que les références et les annexes sont en 14 pt à interligne 1,5. Vérifier si la limite de l'ENATSE porte sur le corps du texte ou sur le document entier. Pour tenir le corps court, 31 paragraphes des chapitres 1 à 4 du protocole ne sont pas repris (liste CONDENSATION dans faire-memoire.mjs), les méthodes telles que conduites (§ 4.2.5 à 4.2.7) sont résumées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 les annexes du protocole reprises dans le mémoire (guide d'entretien, formulaire de consentement avec la case « enregistrement audio », engagement de confidentialité du transcripteur) restent à adapter, ainsi que le mémo QualiCode sur la fidélité des transcriptions.</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92,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60" w:line="36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2026-10-03T04:01:24.841Z</dcterms:created>
  <dcterms:modified xsi:type="dcterms:W3CDTF">2026-10-03T04:01:24.841Z</dcterms:modified>
</cp:coreProperties>
</file>

<file path=docProps/custom.xml><?xml version="1.0" encoding="utf-8"?>
<Properties xmlns="http://schemas.openxmlformats.org/officeDocument/2006/custom-properties" xmlns:vt="http://schemas.openxmlformats.org/officeDocument/2006/docPropsVTypes"/>
</file>