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jc w:val="center"/>
        <w:rPr/>
      </w:pPr>
      <w:r>
        <w:rPr>
          <w:b/>
          <w:bCs/>
        </w:rPr>
        <w:t>UNIVERSITÉ DE PARAKOU — ENATSE</w:t>
      </w:r>
    </w:p>
    <w:p>
      <w:pPr>
        <w:pStyle w:val="Normal"/>
        <w:spacing w:before="0" w:after="300"/>
        <w:jc w:val="center"/>
        <w:rPr/>
      </w:pPr>
      <w:r>
        <w:rPr/>
        <w:t>Master en Santé publique — Promotion de la santé</w:t>
      </w:r>
    </w:p>
    <w:p>
      <w:pPr>
        <w:pStyle w:val="Normal"/>
        <w:spacing w:before="0" w:after="240"/>
        <w:jc w:val="center"/>
        <w:rPr/>
      </w:pPr>
      <w:r>
        <w:rPr>
          <w:i/>
          <w:iCs/>
        </w:rPr>
        <w:t>L'équité d'accès au dépistage capacitant de l'hypertension artérielle et du diabète en consultation prénatale : perceptions et pratiques déclarées des infirmiers et sages-femmes de Ngoma (Rwanda)</w:t>
      </w:r>
    </w:p>
    <w:p>
      <w:pPr>
        <w:pStyle w:val="Normal"/>
        <w:spacing w:before="200" w:after="200"/>
        <w:jc w:val="center"/>
        <w:rPr/>
      </w:pPr>
      <w:r>
        <w:rPr>
          <w:b/>
          <w:bCs/>
        </w:rPr>
        <w:t>Rapport de mémoire</w:t>
      </w:r>
    </w:p>
    <w:p>
      <w:pPr>
        <w:pStyle w:val="Normal"/>
        <w:rPr/>
      </w:pPr>
      <w:r>
        <w:rPr/>
      </w:r>
    </w:p>
    <w:p>
      <w:pPr>
        <w:pStyle w:val="Normal"/>
        <w:spacing w:before="60" w:after="60"/>
        <w:jc w:val="center"/>
        <w:rPr/>
      </w:pPr>
      <w:r>
        <w:rPr>
          <w:i/>
          <w:iCs/>
        </w:rPr>
        <w:t>Version d'entraînement — entretiens et observations fictifs, à remplacer par les données du terrain</w:t>
      </w:r>
    </w:p>
    <w:p>
      <w:pPr>
        <w:pStyle w:val="Normal"/>
        <w:rPr/>
      </w:pPr>
      <w:r>
        <w:rPr/>
      </w:r>
    </w:p>
    <w:p>
      <w:pPr>
        <w:pStyle w:val="Normal"/>
        <w:spacing w:before="0" w:after="80"/>
        <w:rPr/>
      </w:pPr>
      <w:r>
        <w:rPr/>
        <w:t>Synthèse du mémoire à l'intention des lecteurs qui ne liront pas le document entier : direction de mémoire, direction de la santé du district, responsables des centres participants.</w:t>
      </w:r>
    </w:p>
    <w:p>
      <w:pPr>
        <w:pStyle w:val="Normal"/>
        <w:spacing w:before="0" w:after="80"/>
        <w:rPr/>
      </w:pPr>
      <w:r>
        <w:rPr/>
      </w:r>
    </w:p>
    <w:p>
      <w:pPr>
        <w:pStyle w:val="Normal"/>
        <w:spacing w:before="0" w:after="80"/>
        <w:rPr/>
      </w:pPr>
      <w:r>
        <w:rPr/>
        <w:t>Les chiffres sont calculés à partir du projet d'analyse ; les thèmes, les citations et les recommandations sont ceux des chapitres 5 et 6. Les références sont numérotées dans l'ordre de leur première citation (Vancouver).</w:t>
      </w:r>
    </w:p>
    <w:p>
      <w:pPr>
        <w:pStyle w:val="Normal"/>
        <w:rPr/>
      </w:pPr>
      <w:r>
        <w:rPr/>
      </w:r>
    </w:p>
    <w:tbl>
      <w:tblPr>
        <w:tblW w:w="8787" w:type="dxa"/>
        <w:jc w:val="left"/>
        <w:tblInd w:w="0" w:type="dxa"/>
        <w:tblLayout w:type="fixed"/>
        <w:tblCellMar>
          <w:top w:w="60" w:type="dxa"/>
          <w:left w:w="100" w:type="dxa"/>
          <w:bottom w:w="60" w:type="dxa"/>
          <w:right w:w="100" w:type="dxa"/>
        </w:tblCellMar>
      </w:tblPr>
      <w:tblGrid>
        <w:gridCol w:w="2335"/>
        <w:gridCol w:w="6451"/>
      </w:tblGrid>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Chercheur</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MUKAKI DUNIA Jacques</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Institution</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ENATSE, Université de Parakou (Bénin) — Master en Santé publique, Promotion de la santé</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Direction</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Professeure N. Fanny M. HOUNKPONOU AHOUINGNAN</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Période de collecte</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11 août – 30 septembre 2026 (période prévue au protocole, § 4.2.5.3)</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Échantillon</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10 infirmiers ou infirmières et 10 sages-femmes, 15 centres de santé, en deux vagues</w:t>
            </w:r>
          </w:p>
        </w:tc>
      </w:tr>
    </w:tbl>
    <w:p>
      <w:pPr>
        <w:pStyle w:val="Normal"/>
        <w:rPr/>
      </w:pPr>
      <w:r>
        <w:rPr/>
      </w:r>
      <w:r>
        <w:br w:type="page"/>
      </w:r>
    </w:p>
    <w:p>
      <w:pPr>
        <w:pStyle w:val="Heading1"/>
        <w:spacing w:before="0" w:after="160"/>
        <w:rPr/>
      </w:pPr>
      <w:r>
        <w:rPr/>
        <w:t>MESSAGES CLÉS</w:t>
      </w:r>
    </w:p>
    <w:p>
      <w:pPr>
        <w:pStyle w:val="ListParagraph"/>
        <w:numPr>
          <w:ilvl w:val="0"/>
          <w:numId w:val="3"/>
        </w:numPr>
        <w:spacing w:before="0" w:after="80"/>
        <w:jc w:val="both"/>
        <w:rPr/>
      </w:pPr>
      <w:r>
        <w:rPr>
          <w:i w:val="false"/>
          <w:iCs w:val="false"/>
        </w:rPr>
        <w:t>Le dépistage est coupé en deux. La tension est mesurée à chaque visite ; la glycémie, prévue pour toutes à la première CPN, se fait au laboratoire ou à la consultation des maladies chroniques. Aucun des 15 centres n'avait de glucomètre en salle de CPN ; le test de la première CPN n'était effectivement réalisé que dans 5 d'entre eux, et aucun ne le refaisait de façon systématique entre 24 et 28 semaines, quand apparaît le diabète gestationnel.</w:t>
      </w:r>
    </w:p>
    <w:p>
      <w:pPr>
        <w:pStyle w:val="ListParagraph"/>
        <w:numPr>
          <w:ilvl w:val="0"/>
          <w:numId w:val="1"/>
        </w:numPr>
        <w:spacing w:before="0" w:after="80"/>
        <w:jc w:val="both"/>
        <w:rPr/>
      </w:pPr>
      <w:r>
        <w:rPr>
          <w:i w:val="false"/>
          <w:iCs w:val="false"/>
        </w:rPr>
        <w:t>L'explication — la part du dépistage qui permet à la femme d'agir — se raccourcit pour celles qui arrivent tard, posent peu de questions ou n'ont pas d'autre source d'information : elle est distribuée à l'inverse des besoins. La séance d'éducation collective, tenue deux à trois matins par semaine, donne à toutes les présentes la même information, mais parle peu de la tension, presque jamais du sucre, et manque les femmes arrivées après elle.</w:t>
      </w:r>
    </w:p>
    <w:p>
      <w:pPr>
        <w:pStyle w:val="ListParagraph"/>
        <w:numPr>
          <w:ilvl w:val="0"/>
          <w:numId w:val="1"/>
        </w:numPr>
        <w:spacing w:before="0" w:after="80"/>
        <w:jc w:val="both"/>
        <w:rPr/>
      </w:pPr>
      <w:r>
        <w:rPr>
          <w:i w:val="false"/>
          <w:iCs w:val="false"/>
        </w:rPr>
        <w:t>Le dépistage ne figure dans aucun indicateur de la CPN : ses intrants ne sont pas suivis, ses appareils pas réparés, ses actes pas supervisés. Le contrôle porte sur la complétude du registre, qui peut masquer l'inégalité.</w:t>
      </w:r>
    </w:p>
    <w:p>
      <w:pPr>
        <w:pStyle w:val="ListParagraph"/>
        <w:numPr>
          <w:ilvl w:val="0"/>
          <w:numId w:val="1"/>
        </w:numPr>
        <w:spacing w:before="0" w:after="80"/>
        <w:jc w:val="both"/>
        <w:rPr/>
      </w:pPr>
      <w:r>
        <w:rPr>
          <w:i w:val="false"/>
          <w:iCs w:val="false"/>
        </w:rPr>
        <w:t>La référence dépend d'un véhicule et revient rarement ; le suivi s'interrompt à l'accouchement. L'attente du conjoint pour la première CPN retarde la glycémie ; l'alerte téléphonique des ASM organise l'urgence, pas le contrôle d'une tension élevée.</w:t>
      </w:r>
    </w:p>
    <w:p>
      <w:pPr>
        <w:pStyle w:val="ListParagraph"/>
        <w:numPr>
          <w:ilvl w:val="0"/>
          <w:numId w:val="1"/>
        </w:numPr>
        <w:spacing w:before="0" w:after="80"/>
        <w:jc w:val="both"/>
        <w:rPr/>
      </w:pPr>
      <w:r>
        <w:rPr>
          <w:i w:val="false"/>
          <w:iCs w:val="false"/>
        </w:rPr>
        <w:t>Les participants jugent ces différences inacceptables, reconnaissent une part qui leur revient et proposent des changements concrets : un circuit de la CPN vers le laboratoire, une ligne dans le rapport mensuel, un support visuel commun.</w:t>
      </w:r>
    </w:p>
    <w:p>
      <w:pPr>
        <w:pStyle w:val="Heading1"/>
        <w:spacing w:before="280" w:after="160"/>
        <w:rPr/>
      </w:pPr>
      <w:r>
        <w:rPr/>
        <w:t>1. CONTEXTE ET JUSTIFICATION</w:t>
      </w:r>
    </w:p>
    <w:p>
      <w:pPr>
        <w:pStyle w:val="Normal"/>
        <w:spacing w:before="0" w:after="140"/>
        <w:jc w:val="both"/>
        <w:rPr/>
      </w:pPr>
      <w:r>
        <w:rPr>
          <w:i w:val="false"/>
          <w:iCs w:val="false"/>
        </w:rPr>
        <w:t>L'hypertension artérielle et le diabète de la grossesse exposent la mère et l'enfant à des complications évitables, à condition d'être détectés et pris en charge à temps. La consultation prénatale est le contact le plus régulier entre une femme jeune et un professionnel qualifié ; l'Organisation mondiale de la Santé y recommande la mesure systématique de la pression artérielle et un dépistage du diabète orienté par les facteurs de risque</w:t>
      </w:r>
      <w:r>
        <w:rPr/>
        <w:t xml:space="preserve"> [1]</w:t>
      </w:r>
      <w:r>
        <w:rPr>
          <w:i w:val="false"/>
          <w:iCs w:val="false"/>
        </w:rPr>
        <w:t>. Le Rwanda a adopté le paquet d'interventions essentielles de l'OMS contre les maladies non transmissibles</w:t>
      </w:r>
      <w:r>
        <w:rPr/>
        <w:t xml:space="preserve"> [2]</w:t>
      </w:r>
      <w:r>
        <w:rPr>
          <w:i w:val="false"/>
          <w:iCs w:val="false"/>
        </w:rPr>
        <w:t>.</w:t>
      </w:r>
    </w:p>
    <w:p>
      <w:pPr>
        <w:pStyle w:val="Normal"/>
        <w:spacing w:before="0" w:after="140"/>
        <w:jc w:val="both"/>
        <w:rPr/>
      </w:pPr>
      <w:r>
        <w:rPr>
          <w:i w:val="false"/>
          <w:iCs w:val="false"/>
        </w:rPr>
        <w:t>Les données nationales montrent l'écart entre ces recommandations et la pratique. Selon l'enquête STEPS de 2022, 87,0 % des femmes n'avaient jamais eu de mesure de la glycémie, contre 38 % qui n'avaient jamais eu de mesure de la tension</w:t>
      </w:r>
      <w:r>
        <w:rPr/>
        <w:t xml:space="preserve"> [3]</w:t>
      </w:r>
      <w:r>
        <w:rPr>
          <w:i w:val="false"/>
          <w:iCs w:val="false"/>
        </w:rPr>
        <w:t xml:space="preserve"> ; en CPN, la tension a été mesurée chez 93,5 % des femmes suivies dans la province de l'Est selon l'EDS 2025</w:t>
      </w:r>
      <w:r>
        <w:rPr/>
        <w:t xml:space="preserve"> [4]</w:t>
      </w:r>
      <w:r>
        <w:rPr>
          <w:i w:val="false"/>
          <w:iCs w:val="false"/>
        </w:rPr>
        <w:t>. Le modèle national de CPN compte huit contacts, le premier avant 12 semaines et l'un à 26 semaines</w:t>
      </w:r>
      <w:r>
        <w:rPr/>
        <w:t xml:space="preserve"> [5]</w:t>
      </w:r>
      <w:r>
        <w:rPr>
          <w:i w:val="false"/>
          <w:iCs w:val="false"/>
        </w:rPr>
        <w:t xml:space="preserve"> ; le diabète figure parmi les affections recherchées chez toutes les femmes à la première CPN et cochées au registre de maternité</w:t>
      </w:r>
      <w:r>
        <w:rPr/>
        <w:t xml:space="preserve"> [6]</w:t>
      </w:r>
      <w:r>
        <w:rPr>
          <w:i w:val="false"/>
          <w:iCs w:val="false"/>
        </w:rPr>
        <w:t>. Le dépistage du diabète gestationnel n'est pas systématique ; le protocole national de 2012 prévoit une glycémie capillaire à jeun et une épreuve de charge entre 24 et 28 semaines, et la seule estimation de prévalence en centre de santé public, 3,2 %, provient d'une étude de recherche</w:t>
      </w:r>
      <w:r>
        <w:rPr/>
        <w:t xml:space="preserve"> [7]</w:t>
      </w:r>
      <w:r>
        <w:rPr>
          <w:i w:val="false"/>
          <w:iCs w:val="false"/>
        </w:rPr>
        <w:t>.</w:t>
      </w:r>
    </w:p>
    <w:p>
      <w:pPr>
        <w:pStyle w:val="Normal"/>
        <w:spacing w:before="0" w:after="140"/>
        <w:jc w:val="both"/>
        <w:rPr/>
      </w:pPr>
      <w:r>
        <w:rPr>
          <w:i w:val="false"/>
          <w:iCs w:val="false"/>
        </w:rPr>
        <w:t>Au regard de la Charte d'Ottawa</w:t>
      </w:r>
      <w:r>
        <w:rPr/>
        <w:t xml:space="preserve"> [8]</w:t>
      </w:r>
      <w:r>
        <w:rPr>
          <w:i w:val="false"/>
          <w:iCs w:val="false"/>
        </w:rPr>
        <w:t>, intégrer ce dépistage à la CPN est une réorientation des services, dont la portée dépend de ceux qui la réalisent : un dépistage n'est capacitant que si son résultat est expliqué et compris. L'étude s'intéresse donc aux infirmiers et sages-femmes de CPN, et à la manière dont ce dépistage se distribue entre les femmes.</w:t>
      </w:r>
    </w:p>
    <w:p>
      <w:pPr>
        <w:pStyle w:val="Heading1"/>
        <w:spacing w:before="280" w:after="160"/>
        <w:rPr/>
      </w:pPr>
      <w:r>
        <w:rPr/>
        <w:t>2. OBJECTIFS</w:t>
      </w:r>
    </w:p>
    <w:p>
      <w:pPr>
        <w:pStyle w:val="Normal"/>
        <w:spacing w:before="0" w:after="140"/>
        <w:jc w:val="both"/>
        <w:rPr/>
      </w:pPr>
      <w:r>
        <w:rPr>
          <w:i w:val="false"/>
          <w:iCs w:val="false"/>
        </w:rPr>
        <w:t>Objectif général. Analyser les perceptions et les pratiques déclarées des infirmiers et sages-femmes exerçant en consultation prénatale dans les centres de santé du district de Ngoma (Rwanda) à l'égard du dépistage de l'hypertension artérielle et du diabète chez la femme enceinte, et la portée qu'ils reconnaissent en matière d'équité d'accès au dépistage.</w:t>
      </w:r>
    </w:p>
    <w:p>
      <w:pPr>
        <w:pStyle w:val="ListParagraph"/>
        <w:numPr>
          <w:ilvl w:val="0"/>
          <w:numId w:val="1"/>
        </w:numPr>
        <w:spacing w:before="0" w:after="80"/>
        <w:jc w:val="both"/>
        <w:rPr/>
      </w:pPr>
      <w:r>
        <w:rPr>
          <w:i w:val="false"/>
          <w:iCs w:val="false"/>
        </w:rPr>
        <w:t>Objectif spécifique 1 (OS1) : décrire le sens attribué à ce dépistage ainsi que les pratiques déclarées de dépistage et d'information capacitante auprès des femmes enceintes.</w:t>
      </w:r>
    </w:p>
    <w:p>
      <w:pPr>
        <w:pStyle w:val="ListParagraph"/>
        <w:numPr>
          <w:ilvl w:val="0"/>
          <w:numId w:val="1"/>
        </w:numPr>
        <w:spacing w:before="0" w:after="80"/>
        <w:jc w:val="both"/>
        <w:rPr/>
      </w:pPr>
      <w:r>
        <w:rPr>
          <w:i w:val="false"/>
          <w:iCs w:val="false"/>
        </w:rPr>
        <w:t>Objectif spécifique 2 (OS2) : examiner les conditions individuelles, organisationnelles, systémiques et sociales perçues comme facilitant ou limitant ce dépistage, la portée reconnue en équité et les changements jugés nécessaires.</w:t>
      </w:r>
    </w:p>
    <w:p>
      <w:pPr>
        <w:pStyle w:val="Heading1"/>
        <w:spacing w:before="280" w:after="160"/>
        <w:rPr/>
      </w:pPr>
      <w:r>
        <w:rPr/>
        <w:t>3. MÉTHODES</w:t>
      </w:r>
    </w:p>
    <w:p>
      <w:pPr>
        <w:pStyle w:val="Normal"/>
        <w:keepNext w:val="true"/>
        <w:spacing w:before="200" w:after="80"/>
        <w:rPr>
          <w:sz w:val="24"/>
          <w:szCs w:val="24"/>
        </w:rPr>
      </w:pPr>
      <w:r>
        <w:rPr>
          <w:b/>
          <w:bCs/>
          <w:sz w:val="24"/>
          <w:szCs w:val="24"/>
        </w:rPr>
        <w:t>Tableau 1. Méthodes en bref</w:t>
      </w:r>
    </w:p>
    <w:tbl>
      <w:tblPr>
        <w:tblW w:w="8787" w:type="dxa"/>
        <w:jc w:val="left"/>
        <w:tblInd w:w="0" w:type="dxa"/>
        <w:tblLayout w:type="fixed"/>
        <w:tblCellMar>
          <w:top w:w="60" w:type="dxa"/>
          <w:left w:w="100" w:type="dxa"/>
          <w:bottom w:w="60" w:type="dxa"/>
          <w:right w:w="100" w:type="dxa"/>
        </w:tblCellMar>
      </w:tblPr>
      <w:tblGrid>
        <w:gridCol w:w="2142"/>
        <w:gridCol w:w="6644"/>
      </w:tblGrid>
      <w:tr>
        <w:trPr>
          <w:tblHeader w:val="true"/>
        </w:trPr>
        <w:tc>
          <w:tcPr>
            <w:tcW w:w="2142"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Élément</w:t>
            </w:r>
          </w:p>
        </w:tc>
        <w:tc>
          <w:tcPr>
            <w:tcW w:w="6644"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Description</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Type d'étude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Qualitative descriptive</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Cadre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District de Ngoma (Province de l'Est) : 15 des 16 centres de santé, le seizième ayant servi au pré-test</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Participants</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Vingt prestataires de CPN (10 infirmiers ou infirmières, 10 sages-femmes, dont 5 titulaires), échantillonnage à variation maximale</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Collecte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Entretiens semi-structurés (38 à 61 minutes) ; observation non participante d'une demi-journée par centre, service de CPN et laboratoire ; données de routine du district</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Analyse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Analyse thématique en six phases, codage hybride (déductif à partir du cadre conceptuel, inductif)</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Rigueur</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Double codage à l'aveugle de 3 entretiens sur 20 (κ de Cohen par paragraphe = 0,869) et recodage intra-codeur à quatre semaines (κ = 0,958), désaccords tranchés en consensus ; triangulation des sources ; retour des interprétations à des participants volontaires ; grille COREQ</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Éthique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Consentement écrit ; accord distinct pour la citation ; entretiens notés, sans enregistrement ; codes de participant et de centre jamais associés ; approbation éthique et autorisation du district [références à compléter]</w:t>
            </w:r>
          </w:p>
        </w:tc>
      </w:tr>
    </w:tbl>
    <w:p>
      <w:pPr>
        <w:pStyle w:val="Normal"/>
        <w:spacing w:before="60" w:after="200"/>
        <w:rPr>
          <w:sz w:val="22"/>
          <w:szCs w:val="22"/>
        </w:rPr>
      </w:pPr>
      <w:r>
        <w:rPr>
          <w:i/>
          <w:iCs/>
          <w:sz w:val="22"/>
          <w:szCs w:val="22"/>
        </w:rPr>
        <w:t>Source : chapitre 4 du mémoire.</w:t>
      </w:r>
    </w:p>
    <w:p>
      <w:pPr>
        <w:pStyle w:val="Heading1"/>
        <w:spacing w:before="280" w:after="160"/>
        <w:rPr/>
      </w:pPr>
      <w:r>
        <w:rPr/>
        <w:t>4. PRINCIPAUX RÉSULTATS</w:t>
      </w:r>
    </w:p>
    <w:p>
      <w:pPr>
        <w:pStyle w:val="Heading2"/>
        <w:spacing w:before="220" w:after="120"/>
        <w:rPr/>
      </w:pPr>
      <w:r>
        <w:rPr/>
        <w:t>4.1. Le glucomètre est au laboratoire, pas en CPN</w:t>
      </w:r>
    </w:p>
    <w:p>
      <w:pPr>
        <w:pStyle w:val="Normal"/>
        <w:spacing w:before="0" w:after="140"/>
        <w:jc w:val="both"/>
        <w:rPr/>
      </w:pPr>
      <w:r>
        <w:rPr>
          <w:i w:val="false"/>
          <w:iCs w:val="false"/>
        </w:rPr>
        <w:t>Le jour de l'observation, le tensiomètre était présent en salle de CPN dans les 15 centres. La glycémie, elle, relevait d'un autre service (tableau 2).</w:t>
      </w:r>
    </w:p>
    <w:p>
      <w:pPr>
        <w:pStyle w:val="Normal"/>
        <w:keepNext w:val="true"/>
        <w:spacing w:before="200" w:after="80"/>
        <w:rPr>
          <w:sz w:val="24"/>
          <w:szCs w:val="24"/>
        </w:rPr>
      </w:pPr>
      <w:r>
        <w:rPr>
          <w:b/>
          <w:bCs/>
          <w:sz w:val="24"/>
          <w:szCs w:val="24"/>
        </w:rPr>
        <w:t>Tableau 2. Accès de la femme enceinte à la glycémie, le jour de l'observation</w:t>
      </w:r>
    </w:p>
    <w:tbl>
      <w:tblPr>
        <w:tblW w:w="8787" w:type="dxa"/>
        <w:jc w:val="left"/>
        <w:tblInd w:w="0" w:type="dxa"/>
        <w:tblLayout w:type="fixed"/>
        <w:tblCellMar>
          <w:top w:w="60" w:type="dxa"/>
          <w:left w:w="100" w:type="dxa"/>
          <w:bottom w:w="60" w:type="dxa"/>
          <w:right w:w="100" w:type="dxa"/>
        </w:tblCellMar>
      </w:tblPr>
      <w:tblGrid>
        <w:gridCol w:w="6839"/>
        <w:gridCol w:w="1947"/>
      </w:tblGrid>
      <w:tr>
        <w:trPr>
          <w:tblHeader w:val="true"/>
        </w:trPr>
        <w:tc>
          <w:tcPr>
            <w:tcW w:w="6839"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Situation observée</w:t>
            </w:r>
          </w:p>
        </w:tc>
        <w:tc>
          <w:tcPr>
            <w:tcW w:w="1947"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Centres</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en salle de CPN</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0</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de la première CPN réalisée au laboratoire, sur bon de la CPN</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5</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 xml:space="preserve">   </w:t>
            </w:r>
            <w:r>
              <w:rPr>
                <w:b w:val="false"/>
                <w:bCs w:val="false"/>
                <w:i w:val="false"/>
                <w:iCs w:val="false"/>
                <w:sz w:val="22"/>
                <w:szCs w:val="22"/>
              </w:rPr>
              <w:t>dont glycémie refaite systématiquement à 24-28 semaines</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0</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et bandelettes réservés à la consultation des maladies chroniques</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3</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impossible : appareil en panne, bandelettes absentes ou périmées</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6</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Pas de glucomètre dans le centre</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Total</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15</w:t>
            </w:r>
          </w:p>
        </w:tc>
      </w:tr>
    </w:tbl>
    <w:p>
      <w:pPr>
        <w:pStyle w:val="Normal"/>
        <w:spacing w:before="60" w:after="200"/>
        <w:rPr>
          <w:sz w:val="22"/>
          <w:szCs w:val="22"/>
        </w:rPr>
      </w:pPr>
      <w:r>
        <w:rPr>
          <w:i/>
          <w:iCs/>
          <w:sz w:val="22"/>
          <w:szCs w:val="22"/>
        </w:rPr>
        <w:t>Source : observation non participante des services de CPN et des laboratoires.</w:t>
      </w:r>
    </w:p>
    <w:p>
      <w:pPr>
        <w:pStyle w:val="Normal"/>
        <w:spacing w:lineRule="auto" w:line="240" w:before="60" w:after="40"/>
        <w:ind w:left="567" w:right="567"/>
        <w:jc w:val="both"/>
        <w:rPr>
          <w:sz w:val="24"/>
          <w:szCs w:val="24"/>
        </w:rPr>
      </w:pPr>
      <w:r>
        <w:rPr>
          <w:i/>
          <w:iCs/>
          <w:sz w:val="24"/>
          <w:szCs w:val="24"/>
        </w:rPr>
        <w:t>« Le sucre, normalement c'est pour toutes à la première visite, c'est sur la fiche. Mais l'appareil est au laboratoire, pour les malades chroniques, et les bandelettes vont d'abord à eux. Pour les femmes enceintes, ici, la case du sucre reste presque toujours vide. »</w:t>
      </w:r>
    </w:p>
    <w:p>
      <w:pPr>
        <w:pStyle w:val="Normal"/>
        <w:spacing w:lineRule="auto" w:line="240" w:before="0" w:after="160"/>
        <w:ind w:left="567" w:right="567"/>
        <w:jc w:val="right"/>
        <w:rPr>
          <w:sz w:val="24"/>
          <w:szCs w:val="24"/>
        </w:rPr>
      </w:pPr>
      <w:r>
        <w:rPr>
          <w:sz w:val="24"/>
          <w:szCs w:val="24"/>
        </w:rPr>
        <w:t>(P20, infirmier — traduit du kinyarwanda)</w:t>
      </w:r>
    </w:p>
    <w:p>
      <w:pPr>
        <w:pStyle w:val="Normal"/>
        <w:spacing w:before="0" w:after="140"/>
        <w:jc w:val="both"/>
        <w:rPr/>
      </w:pPr>
      <w:r>
        <w:rPr>
          <w:i w:val="false"/>
          <w:iCs w:val="false"/>
        </w:rPr>
        <w:t>Là où le circuit fonctionne, le test de la première CPN est fait à toutes, mais il reste unique : la glycémie n'est refaite qu'en présence d'un signe d'appel ou d'un facteur de risque, et l'épreuve de charge prévue entre 24 et 28 semaines n'est pratiquée nulle part. Une femme normale au premier trimestre n'est plus suivie sur ce point.</w:t>
      </w:r>
    </w:p>
    <w:p>
      <w:pPr>
        <w:pStyle w:val="Normal"/>
        <w:spacing w:lineRule="auto" w:line="240" w:before="60" w:after="40"/>
        <w:ind w:left="567" w:right="567"/>
        <w:jc w:val="both"/>
        <w:rPr>
          <w:sz w:val="24"/>
          <w:szCs w:val="24"/>
        </w:rPr>
      </w:pPr>
      <w:r>
        <w:rPr>
          <w:i/>
          <w:iCs/>
          <w:sz w:val="24"/>
          <w:szCs w:val="24"/>
        </w:rPr>
        <w:t>« À la première visite, toutes font le sucre avec le bilan. Après, plus rien, sauf si quelque chose m'inquiète. Une femme normale à trois mois, je ne sais plus rien d'elle à sept mois. »</w:t>
      </w:r>
    </w:p>
    <w:p>
      <w:pPr>
        <w:pStyle w:val="Normal"/>
        <w:spacing w:lineRule="auto" w:line="240" w:before="0" w:after="160"/>
        <w:ind w:left="567" w:right="567"/>
        <w:jc w:val="right"/>
        <w:rPr>
          <w:sz w:val="24"/>
          <w:szCs w:val="24"/>
        </w:rPr>
      </w:pPr>
      <w:r>
        <w:rPr>
          <w:sz w:val="24"/>
          <w:szCs w:val="24"/>
        </w:rPr>
        <w:t>(P01, infirmier — traduit du kinyarwanda)</w:t>
      </w:r>
    </w:p>
    <w:p>
      <w:pPr>
        <w:pStyle w:val="Heading2"/>
        <w:spacing w:before="220" w:after="120"/>
        <w:rPr/>
      </w:pPr>
      <w:r>
        <w:rPr/>
        <w:t>4.2. Sept thèmes</w:t>
      </w:r>
    </w:p>
    <w:p>
      <w:pPr>
        <w:pStyle w:val="Normal"/>
        <w:spacing w:before="0" w:after="140"/>
        <w:jc w:val="both"/>
        <w:rPr/>
      </w:pPr>
      <w:r>
        <w:rPr>
          <w:i w:val="false"/>
          <w:iCs w:val="false"/>
        </w:rPr>
        <w:t>L'analyse a dégagé sept thèmes, dont deux répondent au premier objectif et cinq au second (tableau 3).</w:t>
      </w:r>
    </w:p>
    <w:p>
      <w:pPr>
        <w:pStyle w:val="Normal"/>
        <w:keepNext w:val="true"/>
        <w:spacing w:before="200" w:after="80"/>
        <w:rPr>
          <w:sz w:val="24"/>
          <w:szCs w:val="24"/>
        </w:rPr>
      </w:pPr>
      <w:r>
        <w:rPr>
          <w:b/>
          <w:bCs/>
          <w:sz w:val="24"/>
          <w:szCs w:val="24"/>
        </w:rPr>
        <w:t>Tableau 3. Synthèse des thèmes</w:t>
      </w:r>
    </w:p>
    <w:tbl>
      <w:tblPr>
        <w:tblW w:w="8787" w:type="dxa"/>
        <w:jc w:val="left"/>
        <w:tblInd w:w="0" w:type="dxa"/>
        <w:tblLayout w:type="fixed"/>
        <w:tblCellMar>
          <w:top w:w="60" w:type="dxa"/>
          <w:left w:w="100" w:type="dxa"/>
          <w:bottom w:w="60" w:type="dxa"/>
          <w:right w:w="100" w:type="dxa"/>
        </w:tblCellMar>
      </w:tblPr>
      <w:tblGrid>
        <w:gridCol w:w="2920"/>
        <w:gridCol w:w="1363"/>
        <w:gridCol w:w="4504"/>
      </w:tblGrid>
      <w:tr>
        <w:trPr>
          <w:tblHeader w:val="true"/>
        </w:trPr>
        <w:tc>
          <w:tcPr>
            <w:tcW w:w="292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Thème</w:t>
            </w:r>
          </w:p>
        </w:tc>
        <w:tc>
          <w:tcPr>
            <w:tcW w:w="1363"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Objectif</w:t>
            </w:r>
          </w:p>
        </w:tc>
        <w:tc>
          <w:tcPr>
            <w:tcW w:w="4504"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Énoncé</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T1. Un dépistage coupé en deux</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 tension est mesurée à chaque visite ; la glycémie, prévue pour toutes à la première CPN, dépend du laboratoire et n'est pas refaite à 24-28 semaines ; là où le circuit est fermé, même le test initial disparaît.</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T2. Expliquer moins à celles qui savent le moins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L'explication varie avec l'heure, la charge et l'idée que l'on se fait de la femme, à l'inverse des besoins ; la séance collective, égale pour les présentes, ne restitue aucun résultat.</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T3. Trouver sans pouvoir suivre</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 détection ne devient prise en charge que si la référence aboutit et si l'information revient ; l'attente du conjoint et l'effet de seuil de l'ubudehe pèsent sur le parcours.</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T4. Ce qui est compté existe</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Intrants, maintenance et attention suivent les indicateurs ; le dépistage n'en fait pas partie.</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T5. Ce que change la dotation, et ce qu'elle ne change pas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L'équipement rend possible le test initial, mais ne règle ni le contrôle tardif ni l'explication.</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T6. Le registre comme écran</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 équité</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Un contrôle de complétude produit de la complétude et peut masquer l'inégalité.</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T7. Le dépistage hors des murs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 transformations</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Relais communautaires et initiatives locales prolongent le dépistage ; l'alerte des ASM organise l'urgence, pas le contrôle.</w:t>
            </w:r>
          </w:p>
        </w:tc>
      </w:tr>
    </w:tbl>
    <w:p>
      <w:pPr>
        <w:pStyle w:val="Normal"/>
        <w:spacing w:before="60" w:after="200"/>
        <w:rPr>
          <w:sz w:val="22"/>
          <w:szCs w:val="22"/>
        </w:rPr>
      </w:pPr>
      <w:r>
        <w:rPr>
          <w:i/>
          <w:iCs/>
          <w:sz w:val="22"/>
          <w:szCs w:val="22"/>
        </w:rPr>
        <w:t>Source : chapitre 5 du mémoire.</w:t>
      </w:r>
    </w:p>
    <w:p>
      <w:pPr>
        <w:pStyle w:val="Heading2"/>
        <w:spacing w:before="220" w:after="120"/>
        <w:rPr/>
      </w:pPr>
      <w:r>
        <w:rPr/>
        <w:t>4.3. Deux propos qui résument</w:t>
      </w:r>
    </w:p>
    <w:p>
      <w:pPr>
        <w:pStyle w:val="Normal"/>
        <w:spacing w:lineRule="auto" w:line="240" w:before="60" w:after="40"/>
        <w:ind w:left="567" w:right="567"/>
        <w:jc w:val="both"/>
        <w:rPr>
          <w:sz w:val="24"/>
          <w:szCs w:val="24"/>
        </w:rPr>
      </w:pPr>
      <w:r>
        <w:rPr>
          <w:i/>
          <w:iCs/>
          <w:sz w:val="24"/>
          <w:szCs w:val="24"/>
        </w:rPr>
        <w:t>« Si vous venez à sept heures trente, vous aurez une infirmière qui vous explique. Si vous venez à onze heures, vous aurez la même infirmière mais elle vous dira trois mots. C'est le même service et ce n'est pas le même service. »</w:t>
      </w:r>
    </w:p>
    <w:p>
      <w:pPr>
        <w:pStyle w:val="Normal"/>
        <w:spacing w:lineRule="auto" w:line="240" w:before="0" w:after="160"/>
        <w:ind w:left="567" w:right="567"/>
        <w:jc w:val="right"/>
        <w:rPr>
          <w:sz w:val="24"/>
          <w:szCs w:val="24"/>
        </w:rPr>
      </w:pPr>
      <w:r>
        <w:rPr>
          <w:sz w:val="24"/>
          <w:szCs w:val="24"/>
        </w:rPr>
        <w:t>(P04, infirmière — traduit du kinyarwanda)</w:t>
      </w:r>
    </w:p>
    <w:p>
      <w:pPr>
        <w:pStyle w:val="Normal"/>
        <w:spacing w:lineRule="auto" w:line="240" w:before="60" w:after="40"/>
        <w:ind w:left="567" w:right="567"/>
        <w:jc w:val="both"/>
        <w:rPr>
          <w:sz w:val="24"/>
          <w:szCs w:val="24"/>
        </w:rPr>
      </w:pPr>
      <w:r>
        <w:rPr>
          <w:i/>
          <w:iCs/>
          <w:sz w:val="24"/>
          <w:szCs w:val="24"/>
        </w:rPr>
        <w:t>« Les femmes des collines du fond arrivent à dix heures, parfois onze heures, après deux heures de marche. Elles ont raté la séance. Et ce sont justement celles qui en auraient le plus besoin. »</w:t>
      </w:r>
    </w:p>
    <w:p>
      <w:pPr>
        <w:pStyle w:val="Normal"/>
        <w:spacing w:lineRule="auto" w:line="240" w:before="0" w:after="160"/>
        <w:ind w:left="567" w:right="567"/>
        <w:jc w:val="right"/>
        <w:rPr>
          <w:sz w:val="24"/>
          <w:szCs w:val="24"/>
        </w:rPr>
      </w:pPr>
      <w:r>
        <w:rPr>
          <w:sz w:val="24"/>
          <w:szCs w:val="24"/>
        </w:rPr>
        <w:t>(P03, sage-femme — traduit du kinyarwanda)</w:t>
      </w:r>
    </w:p>
    <w:p>
      <w:pPr>
        <w:pStyle w:val="Heading2"/>
        <w:spacing w:before="220" w:after="120"/>
        <w:rPr/>
      </w:pPr>
      <w:r>
        <w:rPr/>
        <w:t>4.4. Ce que l'observation confirme ou nuance</w:t>
      </w:r>
    </w:p>
    <w:p>
      <w:pPr>
        <w:pStyle w:val="Normal"/>
        <w:spacing w:before="0" w:after="140"/>
        <w:jc w:val="both"/>
        <w:rPr/>
      </w:pPr>
      <w:r>
        <w:rPr>
          <w:i w:val="false"/>
          <w:iCs w:val="false"/>
        </w:rPr>
        <w:t>La confrontation des entretiens avec l'observation et les données de routine a produit 8 constats : 6 concordances et 2 écarts entre pratiques déclarées et pratiques observées. L'observation a notamment permis de situer le glucomètre, ce que les entretiens seuls n'établissaient pas.</w:t>
      </w:r>
    </w:p>
    <w:p>
      <w:pPr>
        <w:pStyle w:val="Heading1"/>
        <w:spacing w:before="280" w:after="160"/>
        <w:rPr/>
      </w:pPr>
      <w:r>
        <w:rPr/>
        <w:t>5. POINTS DE DISCUSSION</w:t>
      </w:r>
    </w:p>
    <w:p>
      <w:pPr>
        <w:pStyle w:val="ListParagraph"/>
        <w:numPr>
          <w:ilvl w:val="0"/>
          <w:numId w:val="1"/>
        </w:numPr>
        <w:spacing w:before="0" w:after="80"/>
        <w:jc w:val="both"/>
        <w:rPr/>
      </w:pPr>
      <w:r>
        <w:rPr>
          <w:i w:val="false"/>
          <w:iCs w:val="false"/>
        </w:rPr>
        <w:t>Deux programmes dans le même centre. La glycémie appartient au programme des maladies non transmissibles, la CPN au programme de santé maternelle. Tant que ce partage n'est pas organisé, la femme enceinte reste en dehors du circuit du glucomètre, ce qui rejoint le caractère non systématique du dépistage rapporté au niveau national</w:t>
      </w:r>
      <w:r>
        <w:rPr/>
        <w:t xml:space="preserve"> [7]</w:t>
      </w:r>
      <w:r>
        <w:rPr>
          <w:i w:val="false"/>
          <w:iCs w:val="false"/>
        </w:rPr>
        <w:t>.</w:t>
      </w:r>
    </w:p>
    <w:p>
      <w:pPr>
        <w:pStyle w:val="ListParagraph"/>
        <w:numPr>
          <w:ilvl w:val="0"/>
          <w:numId w:val="1"/>
        </w:numPr>
        <w:spacing w:before="0" w:after="80"/>
        <w:jc w:val="both"/>
        <w:rPr/>
      </w:pPr>
      <w:r>
        <w:rPr>
          <w:i w:val="false"/>
          <w:iCs w:val="false"/>
        </w:rPr>
        <w:t>Un test unique, trop précoce. La règle prévoit la glycémie pour toutes à la première CPN, mais le diabète gestationnel apparaît surtout entre 24 et 28 semaines, période pour laquelle le protocole national prévoit une épreuve de charge</w:t>
      </w:r>
      <w:r>
        <w:rPr/>
        <w:t xml:space="preserve"> [7]</w:t>
      </w:r>
      <w:r>
        <w:rPr>
          <w:i w:val="false"/>
          <w:iCs w:val="false"/>
        </w:rPr>
        <w:t xml:space="preserve"> que les centres ne pratiquent pas, alors que le contact de 26 semaines s'y prêterait</w:t>
      </w:r>
      <w:r>
        <w:rPr/>
        <w:t xml:space="preserve"> [5]</w:t>
      </w:r>
      <w:r>
        <w:rPr>
          <w:i w:val="false"/>
          <w:iCs w:val="false"/>
        </w:rPr>
        <w:t>. Le dépistage repère ainsi un diabète préexistant plutôt que le diabète de la grossesse.</w:t>
      </w:r>
    </w:p>
    <w:p>
      <w:pPr>
        <w:pStyle w:val="ListParagraph"/>
        <w:numPr>
          <w:ilvl w:val="0"/>
          <w:numId w:val="1"/>
        </w:numPr>
        <w:spacing w:before="0" w:after="80"/>
        <w:jc w:val="both"/>
        <w:rPr/>
      </w:pPr>
      <w:r>
        <w:rPr>
          <w:i w:val="false"/>
          <w:iCs w:val="false"/>
        </w:rPr>
        <w:t>L'explication, distribuée à l'inverse des besoins. L'inégalité ne tient pas seulement à l'accès au test, mais au temps d'explication, qui se raréfie là où il serait le plus utile ; c'est la dimension capacitante du dépistage qui se distribue mal</w:t>
      </w:r>
      <w:r>
        <w:rPr/>
        <w:t xml:space="preserve"> [8]</w:t>
      </w:r>
      <w:r>
        <w:rPr>
          <w:i w:val="false"/>
          <w:iCs w:val="false"/>
        </w:rPr>
        <w:t>.</w:t>
      </w:r>
    </w:p>
    <w:p>
      <w:pPr>
        <w:pStyle w:val="ListParagraph"/>
        <w:numPr>
          <w:ilvl w:val="0"/>
          <w:numId w:val="1"/>
        </w:numPr>
        <w:spacing w:before="0" w:after="80"/>
        <w:jc w:val="both"/>
        <w:rPr/>
      </w:pPr>
      <w:r>
        <w:rPr>
          <w:i w:val="false"/>
          <w:iCs w:val="false"/>
        </w:rPr>
        <w:t>Ce qui est compté existe. Les indicateurs orientent intrants, maintenance et supervision. Un dépistage absent du rapport mensuel n'est ni approvisionné ni contrôlé, et un contrôle de complétude du registre peut produire une égalité apparente. Le financement basé sur la performance rémunère les centres pour la première CPN précoce et les quatre visites</w:t>
      </w:r>
      <w:r>
        <w:rPr/>
        <w:t xml:space="preserve"> [6]</w:t>
      </w:r>
      <w:r>
        <w:rPr>
          <w:i w:val="false"/>
          <w:iCs w:val="false"/>
        </w:rPr>
        <w:t>, et son effet est plus net sur les services les mieux payés et les moins exigeants</w:t>
      </w:r>
      <w:r>
        <w:rPr/>
        <w:t xml:space="preserve"> [9]</w:t>
      </w:r>
      <w:r>
        <w:rPr>
          <w:i w:val="false"/>
          <w:iCs w:val="false"/>
        </w:rPr>
        <w:t>.</w:t>
      </w:r>
    </w:p>
    <w:p>
      <w:pPr>
        <w:pStyle w:val="ListParagraph"/>
        <w:numPr>
          <w:ilvl w:val="0"/>
          <w:numId w:val="1"/>
        </w:numPr>
        <w:spacing w:before="0" w:after="80"/>
        <w:jc w:val="both"/>
        <w:rPr/>
      </w:pPr>
      <w:r>
        <w:rPr>
          <w:i w:val="false"/>
          <w:iCs w:val="false"/>
        </w:rPr>
        <w:t>La séance collective, levier à orienter. Égale pour les présentes, elle ne restitue aucun résultat et manque celles qui arrivent tard ; y inscrire la tension et le sucre, et la doubler d'un relais vers les familles (ASM, umugoroba w'ababyeyi</w:t>
      </w:r>
      <w:r>
        <w:rPr/>
        <w:t xml:space="preserve"> [10]</w:t>
      </w:r>
      <w:r>
        <w:rPr>
          <w:i w:val="false"/>
          <w:iCs w:val="false"/>
        </w:rPr>
        <w:t>), en ferait un instrument d'équité</w:t>
      </w:r>
      <w:r>
        <w:rPr/>
        <w:t xml:space="preserve"> [11]</w:t>
      </w:r>
      <w:r>
        <w:rPr>
          <w:i w:val="false"/>
          <w:iCs w:val="false"/>
        </w:rPr>
        <w:t>.</w:t>
      </w:r>
    </w:p>
    <w:p>
      <w:pPr>
        <w:pStyle w:val="ListParagraph"/>
        <w:numPr>
          <w:ilvl w:val="0"/>
          <w:numId w:val="1"/>
        </w:numPr>
        <w:spacing w:before="0" w:after="80"/>
        <w:jc w:val="both"/>
        <w:rPr/>
      </w:pPr>
      <w:r>
        <w:rPr>
          <w:i w:val="false"/>
          <w:iCs w:val="false"/>
        </w:rPr>
        <w:t>La dotation ne suffit pas. Là où l'équipement est présent, l'inégalité du test diminue, mais celles de la référence vers l'hôpital et de l'explication demeurent : la réponse ne peut être seulement matérielle.</w:t>
      </w:r>
    </w:p>
    <w:p>
      <w:pPr>
        <w:pStyle w:val="Heading1"/>
        <w:spacing w:before="280" w:after="160"/>
        <w:rPr/>
      </w:pPr>
      <w:r>
        <w:rPr/>
        <w:t>6. RECOMMANDATIONS</w:t>
      </w:r>
    </w:p>
    <w:p>
      <w:pPr>
        <w:pStyle w:val="Normal"/>
        <w:keepNext w:val="true"/>
        <w:spacing w:before="200" w:after="80"/>
        <w:rPr>
          <w:sz w:val="24"/>
          <w:szCs w:val="24"/>
        </w:rPr>
      </w:pPr>
      <w:r>
        <w:rPr>
          <w:b/>
          <w:bCs/>
          <w:sz w:val="24"/>
          <w:szCs w:val="24"/>
        </w:rPr>
        <w:t>Tableau 4. Recommandations par destinataire</w:t>
      </w:r>
    </w:p>
    <w:tbl>
      <w:tblPr>
        <w:tblW w:w="8787" w:type="dxa"/>
        <w:jc w:val="left"/>
        <w:tblInd w:w="0" w:type="dxa"/>
        <w:tblLayout w:type="fixed"/>
        <w:tblCellMar>
          <w:top w:w="60" w:type="dxa"/>
          <w:left w:w="100" w:type="dxa"/>
          <w:bottom w:w="60" w:type="dxa"/>
          <w:right w:w="100" w:type="dxa"/>
        </w:tblCellMar>
      </w:tblPr>
      <w:tblGrid>
        <w:gridCol w:w="2142"/>
        <w:gridCol w:w="4990"/>
        <w:gridCol w:w="1655"/>
      </w:tblGrid>
      <w:tr>
        <w:trPr>
          <w:tblHeader w:val="true"/>
        </w:trPr>
        <w:tc>
          <w:tcPr>
            <w:tcW w:w="2142"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Destinataire</w:t>
            </w:r>
          </w:p>
        </w:tc>
        <w:tc>
          <w:tcPr>
            <w:tcW w:w="499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Recommandations</w:t>
            </w:r>
          </w:p>
        </w:tc>
        <w:tc>
          <w:tcPr>
            <w:tcW w:w="1655"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Résultats d'appui</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Ministère de la Santé et Rwanda Biomedical Centre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Relier les campagnes de dépistage des MNT à la CPN (signalement au centre des femmes enceintes dépistées) ; garantir les bandelettes nécessaires à la glycémie de la première CPN ; préciser et rendre praticable le dépistage du diabète gestationnel entre 24 et 28 semaines (glycémie à jeun ou épreuve de charge du protocole national, au contact de 26 semaines du modèle à huit contacts), avec des critères écrits pour les femmes à risque</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1</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Direction de la santé du district</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Rattacher explicitement la glycémie de la femme enceinte à la CPN : réserver au laboratoire une part des bandelettes pour les bons de la CPN, et inclure ces bandelettes et les piles des tensiomètres dans les intrants essentiels ; inscrire dans le rapport mensuel une ligne sur le dépistage (tensions mesurées, glycémies réalisées, résultats anormaux, références abouties) ; organiser la maintenance des appareils ; superviser par l'observation des actes et non par la seule complétude des registres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Thèmes 1, 4, 5 et 6</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Responsables des centres de santé</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Organiser le circuit « bon de CPN → laboratoire » le matin même, pour la première CPN et pour le contrôle à 24-28 semaines ; coordonner la CPN et la consultation des maladies chroniques pour l'usage du glucomètre</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1</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Hôpital de district</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Rendre systématique le retour d'information vers le centre pour chaque femme référée ; organiser le suivi après l'accouchement des femmes dépistées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3</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Équipes de CPN</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Inscrire la tension et le sucre au programme des séances d'éducation, avec une image simple ; reprendre le message pour les femmes arrivées après la séance ; ne jamais substituer la séance à la restitution du résultat ; vérifier la compréhension en faisant reformuler la femme ; tracer les références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2</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Formation initiale et continue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Former les infirmiers affectés aux constantes autant que les sages-femmes ; former des équipes plutôt que des personnes ; intégrer la pratique informative et sa distribution entre les femmes au contenu des formations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Thèmes 1 et 2 ; conditions individuelles</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Programme de santé communautaire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Donner aux ASM et à l'umugoroba w'ababyeyi des messages simples sur la tension et le sucre pendant la grossesse ; prévoir dans l'outil de signalement des ASM le suivi d'une femme référée pour tension élevée ; faire savoir que la femme est reçue à la première CPN même sans son conjoint</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Thèmes 3 et 7</w:t>
            </w:r>
          </w:p>
        </w:tc>
      </w:tr>
    </w:tbl>
    <w:p>
      <w:pPr>
        <w:pStyle w:val="Normal"/>
        <w:spacing w:before="60" w:after="200"/>
        <w:rPr>
          <w:sz w:val="22"/>
          <w:szCs w:val="22"/>
        </w:rPr>
      </w:pPr>
      <w:r>
        <w:rPr>
          <w:i/>
          <w:iCs/>
          <w:sz w:val="22"/>
          <w:szCs w:val="22"/>
        </w:rPr>
        <w:t>Source : chapitre 6 du mémoire.</w:t>
      </w:r>
    </w:p>
    <w:p>
      <w:pPr>
        <w:pStyle w:val="Heading1"/>
        <w:spacing w:before="280" w:after="160"/>
        <w:rPr/>
      </w:pPr>
      <w:r>
        <w:rPr/>
        <w:t>7. LIMITES</w:t>
      </w:r>
    </w:p>
    <w:p>
      <w:pPr>
        <w:pStyle w:val="Normal"/>
        <w:spacing w:before="0" w:after="140"/>
        <w:jc w:val="both"/>
        <w:rPr/>
      </w:pPr>
      <w:r>
        <w:rPr>
          <w:i w:val="false"/>
          <w:iCs w:val="false"/>
        </w:rPr>
        <w:t>Pratiques déclarées et représentations professionnelles ; point de vue des femmes non recueilli ; propos notés sans enregistrement ; effet possible de la présence de l'observateur ; données de routine de qualité limitée</w:t>
      </w:r>
      <w:r>
        <w:rPr/>
        <w:t xml:space="preserve"> [12]</w:t>
      </w:r>
      <w:r>
        <w:rPr>
          <w:i w:val="false"/>
          <w:iCs w:val="false"/>
        </w:rPr>
        <w:t xml:space="preserve"> ; un seul district, dont la description permet d'apprécier la transférabilité.</w:t>
      </w:r>
    </w:p>
    <w:p>
      <w:pPr>
        <w:pStyle w:val="Heading1"/>
        <w:spacing w:before="280" w:after="160"/>
        <w:rPr/>
      </w:pPr>
      <w:r>
        <w:rPr/>
        <w:t>8. CONCLUSION</w:t>
      </w:r>
    </w:p>
    <w:p>
      <w:pPr>
        <w:pStyle w:val="Normal"/>
        <w:spacing w:before="0" w:after="140"/>
        <w:jc w:val="both"/>
        <w:rPr/>
      </w:pPr>
      <w:r>
        <w:rPr>
          <w:i w:val="false"/>
          <w:iCs w:val="false"/>
        </w:rPr>
        <w:t>Le dépistage de l'hypertension et du diabète en CPN est accepté par les professionnels comme relevant de leur mandat, mais il n'est réalisé qu'à moitié : la tension est mesurée, la glycémie, prévue pour toutes à la première CPN, n'est effectivement faite que dans 5 centres sur 15 et n'est pas refaite entre 24 et 28 semaines. Garantir les bandelettes du test initial et rendre praticable le dépistage à 24-28 semaines, compter les actes de dépistage et leur suite, et soutenir la pratique informative sont les trois leviers qui ressortent de l'étude.</w:t>
      </w:r>
    </w:p>
    <w:p>
      <w:pPr>
        <w:pStyle w:val="Heading1"/>
        <w:spacing w:before="280" w:after="160"/>
        <w:rPr/>
      </w:pPr>
      <w:r>
        <w:rPr/>
        <w:t>RÉFÉRENCES</w:t>
      </w:r>
    </w:p>
    <w:p>
      <w:pPr>
        <w:pStyle w:val="Bibliographie"/>
        <w:rPr/>
      </w:pPr>
      <w:r>
        <w:rPr/>
        <w:t>1.</w:t>
        <w:tab/>
        <w:t>World Health Organization. WHO recommendations on antenatal care for a positive pregnancy experience. Geneva: WHO; 2016.</w:t>
      </w:r>
    </w:p>
    <w:p>
      <w:pPr>
        <w:pStyle w:val="Bibliographie"/>
        <w:rPr/>
      </w:pPr>
      <w:r>
        <w:rPr/>
        <w:t>2.</w:t>
        <w:tab/>
        <w:t>World Health Organization. WHO package of essential noncommunicable (PEN) disease interventions for primary health care. Geneva: WHO; 2020.</w:t>
      </w:r>
    </w:p>
    <w:p>
      <w:pPr>
        <w:pStyle w:val="Bibliographie"/>
        <w:rPr/>
      </w:pPr>
      <w:r>
        <w:rPr/>
        <w:t>3.</w:t>
        <w:tab/>
        <w:t>Rwanda Biomedical Centre, Ministry of Health, World Health Organization. Rwanda non-communicable diseases risk factors report: STEPS survey 2022. Kigali: Rwanda Biomedical Centre; 2023.</w:t>
      </w:r>
    </w:p>
    <w:p>
      <w:pPr>
        <w:pStyle w:val="Bibliographie"/>
        <w:rPr/>
      </w:pPr>
      <w:r>
        <w:rPr/>
        <w:t>4.</w:t>
        <w:tab/>
        <w:t>National Institute of Statistics of Rwanda, Ministry of Health, ICF. Rwanda Demographic and Health Survey 2025: indicateurs de soins prénatals [Internet]. Rockville (MD): The DHS Program, ICF; 2026 [cité le 2 oct 2026]. Disponible sur: https://api.dhsprogram.com</w:t>
      </w:r>
    </w:p>
    <w:p>
      <w:pPr>
        <w:pStyle w:val="Bibliographie"/>
        <w:rPr/>
      </w:pPr>
      <w:r>
        <w:rPr/>
        <w:t>5.</w:t>
        <w:tab/>
        <w:t>Rwanda Biomedical Centre, Ministry of Health. National antenatal care guidelines. Kigali: RBC; 2021. Disponible sur: https://rbc.gov.rw/MCCH/wp-content/uploads/2025/02/ANC-guideline_-final-Edited-4-February-2021-1-1.pdf</w:t>
      </w:r>
    </w:p>
    <w:p>
      <w:pPr>
        <w:pStyle w:val="Bibliographie"/>
        <w:rPr/>
      </w:pPr>
      <w:r>
        <w:rPr/>
        <w:t>6.</w:t>
        <w:tab/>
        <w:t>Schmidt CN, Butrick E, Musange S, Mulindahabi N, Walker D. Towards stronger antenatal care: understanding predictors of late presentation to antenatal services and implications for obstetric risk management in Rwanda. PLoS One. 2021;16(8):e0256415. doi:10.1371/journal.pone.0256415</w:t>
      </w:r>
    </w:p>
    <w:p>
      <w:pPr>
        <w:pStyle w:val="Bibliographie"/>
        <w:rPr/>
      </w:pPr>
      <w:r>
        <w:rPr/>
        <w:t>7.</w:t>
        <w:tab/>
        <w:t>Meharry PM, Tengera O, Rulisa S, Byambu AK, Nietert PJ, Byiringiro S, et al. Prevalence of gestational diabetes mellitus among women attending antenatal care at public health centers in Rwanda. Diabetes Res Clin Pract. 2019;151:252-9.</w:t>
      </w:r>
    </w:p>
    <w:p>
      <w:pPr>
        <w:pStyle w:val="Bibliographie"/>
        <w:rPr/>
      </w:pPr>
      <w:r>
        <w:rPr/>
        <w:t>8.</w:t>
        <w:tab/>
        <w:t>World Health Organization. Ottawa Charter for Health Promotion. Geneva: WHO; 1986.</w:t>
      </w:r>
    </w:p>
    <w:p>
      <w:pPr>
        <w:pStyle w:val="Bibliographie"/>
        <w:rPr/>
      </w:pPr>
      <w:r>
        <w:rPr/>
        <w:t>9.</w:t>
        <w:tab/>
        <w:t>Basinga P, Gertler PJ, Binagwaho A, Soucat AL, Sturdy J, Vermeersch CM. Effect on maternal and child health services in Rwanda of payment to primary health-care providers for performance: an impact evaluation. Lancet. 2011;377(9775):1421-8. doi:10.1016/S0140-6736(11)60177-3</w:t>
      </w:r>
    </w:p>
    <w:p>
      <w:pPr>
        <w:pStyle w:val="Bibliographie"/>
        <w:rPr/>
      </w:pPr>
      <w:r>
        <w:rPr/>
        <w:t>10.</w:t>
        <w:tab/>
        <w:t>Nsanzabera F, Irakoze E, Manishimwe A, Nsengiyumva JB, Mwiseneza A, Ntakirutimana E, et al. Improving early childhood nutrition practices through parents' evening forums in rural Rwanda. Public Health Nutr. 2025;28(1):e136. doi:10.1017/S1368980025100803</w:t>
      </w:r>
    </w:p>
    <w:p>
      <w:pPr>
        <w:pStyle w:val="Bibliographie"/>
        <w:rPr/>
      </w:pPr>
      <w:r>
        <w:rPr/>
        <w:t>11.</w:t>
        <w:tab/>
        <w:t>Musabyimana A, Lundeen T, Butrick E, Sayinzoga F, Rwabufigiri BN, Walker D, Musange SF. Before and after implementation of group antenatal care in Rwanda: a qualitative study of women’s experiences. Reprod Health. 2019;16(1):90. doi:10.1186/s12978-019-0750-5</w:t>
      </w:r>
    </w:p>
    <w:p>
      <w:pPr>
        <w:pStyle w:val="Bibliographie"/>
        <w:spacing w:lineRule="auto" w:line="240" w:before="0" w:after="20"/>
        <w:ind w:hanging="567" w:left="567"/>
        <w:jc w:val="left"/>
        <w:rPr/>
      </w:pPr>
      <w:r>
        <w:rPr/>
        <w:t>12.</w:t>
        <w:tab/>
        <w:t>Nshimyiryo A, Kirk CM, Sauer SM, Ntawuyirusha E, Muhire A, Sayinzoga F, Hedt-Gauthier B. Health management information system (HMIS) data verification: a case study in four districts in Rwanda. PLoS ONE. 2020;15(7):e0235823. doi:10.1371/journal.pone.0235823.</w:t>
      </w:r>
    </w:p>
    <w:sectPr>
      <w:footerReference w:type="even" r:id="rId2"/>
      <w:footerReference w:type="default" r:id="rId3"/>
      <w:footerReference w:type="first" r:id="rId4"/>
      <w:type w:val="nextPage"/>
      <w:pgSz w:w="11906" w:h="16838"/>
      <w:pgMar w:left="1701" w:right="1418" w:gutter="0" w:header="0" w:top="1418" w:footer="709" w:bottom="1418"/>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888888"/>
        <w:sz w:val="16"/>
        <w:szCs w:val="16"/>
      </w:rPr>
      <w:t xml:space="preserve">Rapport de mémoire — MUKAKI DUNIA Jacques · version d'entraînement ·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888888"/>
        <w:sz w:val="16"/>
        <w:szCs w:val="16"/>
      </w:rPr>
      <w:t xml:space="preserve">Rapport de mémoire — MUKAKI DUNIA Jacques · version d'entraînement ·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Normal"/>
    <w:next w:val="Normal"/>
    <w:qFormat/>
    <w:pPr>
      <w:keepNext w:val="true"/>
      <w:keepLines/>
      <w:spacing w:lineRule="auto" w:line="360" w:before="360" w:after="120"/>
      <w:jc w:val="left"/>
      <w:outlineLvl w:val="0"/>
    </w:pPr>
    <w:rPr>
      <w:rFonts w:ascii="Times New Roman" w:hAnsi="Times New Roman" w:eastAsia="Times New Roman" w:cs="Times New Roman"/>
      <w:b/>
      <w:bCs/>
      <w:i w:val="false"/>
      <w:iCs w:val="false"/>
      <w:color w:val="000000"/>
      <w:sz w:val="28"/>
      <w:szCs w:val="28"/>
    </w:rPr>
  </w:style>
  <w:style w:type="paragraph" w:styleId="Heading2">
    <w:name w:val="Heading 2"/>
    <w:basedOn w:val="Normal"/>
    <w:next w:val="Normal"/>
    <w:qFormat/>
    <w:pPr>
      <w:keepNext w:val="true"/>
      <w:keepLines/>
      <w:spacing w:lineRule="auto" w:line="360" w:before="240" w:after="120"/>
      <w:jc w:val="left"/>
      <w:outlineLvl w:val="1"/>
    </w:pPr>
    <w:rPr>
      <w:rFonts w:ascii="Times New Roman" w:hAnsi="Times New Roman" w:eastAsia="Times New Roman" w:cs="Times New Roman"/>
      <w:b/>
      <w:bCs/>
      <w:i w:val="false"/>
      <w:iCs w:val="false"/>
      <w:color w:val="000000"/>
      <w:sz w:val="28"/>
      <w:szCs w:val="28"/>
    </w:rPr>
  </w:style>
  <w:style w:type="paragraph" w:styleId="Heading3">
    <w:name w:val="Heading 3"/>
    <w:basedOn w:val="Normal"/>
    <w:next w:val="Normal"/>
    <w:qFormat/>
    <w:pPr>
      <w:keepNext w:val="true"/>
      <w:keepLines/>
      <w:spacing w:lineRule="auto" w:line="360" w:before="180" w:after="120"/>
      <w:jc w:val="left"/>
      <w:outlineLvl w:val="2"/>
    </w:pPr>
    <w:rPr>
      <w:rFonts w:ascii="Times New Roman" w:hAnsi="Times New Roman" w:eastAsia="Times New Roman" w:cs="Times New Roman"/>
      <w:b/>
      <w:bCs/>
      <w:i/>
      <w:iCs/>
      <w:color w:val="000000"/>
      <w:sz w:val="28"/>
      <w:szCs w:val="28"/>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extecompact">
    <w:name w:val="Texte compact"/>
    <w:basedOn w:val="Normal"/>
    <w:qFormat/>
    <w:pPr>
      <w:spacing w:lineRule="auto" w:line="240" w:before="0" w:after="80"/>
    </w:pPr>
    <w:rPr>
      <w:rFonts w:ascii="Times New Roman" w:hAnsi="Times New Roman" w:eastAsia="Times New Roman" w:cs="Times New Roman"/>
      <w:sz w:val="22"/>
      <w:szCs w:val="22"/>
    </w:rPr>
  </w:style>
  <w:style w:type="paragraph" w:styleId="Titrecompact">
    <w:name w:val="Titre compact"/>
    <w:basedOn w:val="Textecompact"/>
    <w:next w:val="Textecompact"/>
    <w:qFormat/>
    <w:pPr>
      <w:keepNext w:val="true"/>
      <w:spacing w:before="160" w:after="80"/>
      <w:jc w:val="left"/>
    </w:pPr>
    <w:rPr>
      <w:b/>
      <w:bCs/>
    </w:rPr>
  </w:style>
  <w:style w:type="paragraph" w:styleId="Bibliographie">
    <w:name w:val="Bibliographie"/>
    <w:basedOn w:val="Normal"/>
    <w:qFormat/>
    <w:pPr>
      <w:spacing w:lineRule="auto" w:line="240" w:before="0" w:after="20"/>
      <w:ind w:hanging="567" w:left="567"/>
      <w:jc w:val="left"/>
    </w:pPr>
    <w:rPr>
      <w:rFonts w:ascii="Times New Roman" w:hAnsi="Times New Roman" w:eastAsia="Times New Roman" w:cs="Times New Roman"/>
      <w:sz w:val="24"/>
      <w:szCs w:val="24"/>
    </w:rPr>
  </w:style>
  <w:style w:type="paragraph" w:styleId="TOC1">
    <w:name w:val="TOC 1"/>
    <w:basedOn w:val="Normal"/>
    <w:next w:val="Normal"/>
    <w:pPr>
      <w:spacing w:lineRule="auto" w:line="240" w:before="0" w:after="0"/>
      <w:ind w:left="0"/>
      <w:jc w:val="left"/>
    </w:pPr>
    <w:rPr>
      <w:rFonts w:ascii="Times New Roman" w:hAnsi="Times New Roman" w:eastAsia="Times New Roman" w:cs="Times New Roman"/>
      <w:sz w:val="24"/>
      <w:szCs w:val="24"/>
    </w:rPr>
  </w:style>
  <w:style w:type="paragraph" w:styleId="TOC2">
    <w:name w:val="TOC 2"/>
    <w:basedOn w:val="Normal"/>
    <w:next w:val="Normal"/>
    <w:pPr>
      <w:spacing w:lineRule="auto" w:line="240" w:before="0" w:after="0"/>
      <w:ind w:left="240"/>
      <w:jc w:val="left"/>
    </w:pPr>
    <w:rPr>
      <w:rFonts w:ascii="Times New Roman" w:hAnsi="Times New Roman" w:eastAsia="Times New Roman" w:cs="Times New Roman"/>
      <w:sz w:val="24"/>
      <w:szCs w:val="24"/>
    </w:rPr>
  </w:style>
  <w:style w:type="paragraph" w:styleId="TOC3">
    <w:name w:val="TOC 3"/>
    <w:basedOn w:val="Normal"/>
    <w:next w:val="Normal"/>
    <w:pPr>
      <w:spacing w:lineRule="auto" w:line="240" w:before="0" w:after="0"/>
      <w:ind w:left="480"/>
      <w:jc w:val="left"/>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2026-10-03T03:33:33Z</dcterms:created>
  <dc:creator>Un-named</dc:creator>
  <dc:description/>
  <dc:language>en-US</dc:language>
  <cp:lastModifiedBy>Un-named</cp:lastModifiedBy>
  <dcterms:modified xsi:type="dcterms:W3CDTF">2026-10-03T03:33:33Z</dcterms:modified>
  <cp:revision>1</cp:revision>
  <dc:subject/>
  <dc:title/>
</cp:coreProperties>
</file>