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Outils de collecte — formulaires à remplir sur le terrain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du ……………… au ………………</w:t>
            </w:r>
          </w:p>
        </w:tc>
      </w:tr>
    </w:tbl>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Confidentialité (§ 4.2.7)</w:t>
            </w:r>
          </w:p>
          <w:p>
            <w:r>
              <w:rPr>
                <w:sz w:val="19"/>
                <w:szCs w:val="19"/>
              </w:rPr>
              <w:t xml:space="preserve">Une fois remplis, ces formulaires contiennent des données de recherche. Ils se conservent sur un support chiffré, jamais dans un dépôt ou un service en ligne public. La table de correspondance entre codes et identités est tenue à part, sous la seule responsabilité du chercheur.</w:t>
            </w:r>
          </w:p>
        </w:tc>
      </w:tr>
    </w:tbl>
    <w:p>
      <w:r>
        <w:br w:type="page"/>
      </w:r>
    </w:p>
    <w:p>
      <w:pPr>
        <w:pStyle w:val="Heading1"/>
        <w:spacing w:after="160" w:before="280"/>
      </w:pPr>
      <w:r>
        <w:t xml:space="preserve">1. Suivi de l'échantillon (Tableau II)</w:t>
      </w:r>
    </w:p>
    <w:p>
      <w:pPr>
        <w:rPr>
          <w:i/>
          <w:iCs/>
          <w:sz w:val="19"/>
          <w:szCs w:val="19"/>
        </w:rPr>
      </w:pPr>
      <w:r>
        <w:rPr>
          <w:i/>
          <w:iCs/>
          <w:sz w:val="19"/>
          <w:szCs w:val="19"/>
        </w:rPr>
        <w:t xml:space="preserve">À mettre à jour après chaque entretien : la collecte vise chacune des modalités des sept dimensions et couvre quinze des seize centres, à raison d'un à deux participants par structure ; le seizième sert au pré-test et n'est pas retenu.</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50"/>
        <w:gridCol w:w="1100"/>
        <w:gridCol w:w="850"/>
        <w:gridCol w:w="900"/>
        <w:gridCol w:w="900"/>
        <w:gridCol w:w="900"/>
        <w:gridCol w:w="900"/>
        <w:gridCol w:w="950"/>
        <w:gridCol w:w="9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Qualification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Titulaire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Anc. CPN</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Hôpital</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Volume</w:t>
            </w:r>
          </w:p>
        </w:tc>
        <w:tc>
          <w:tcPr>
            <w:tcW w:type="dxa" w:w="950"/>
            <w:shd w:fill="E8EDF2" w:color="auto" w:val="clear"/>
            <w:tcMar>
              <w:top w:type="dxa" w:w="60"/>
              <w:left w:type="dxa" w:w="100"/>
              <w:bottom w:type="dxa" w:w="60"/>
              <w:right w:type="dxa" w:w="100"/>
            </w:tcMar>
          </w:tcPr>
          <w:p>
            <w:r>
              <w:rPr>
                <w:b/>
                <w:bCs/>
                <w:i w:val="false"/>
                <w:iCs w:val="false"/>
                <w:sz w:val="19"/>
                <w:szCs w:val="19"/>
              </w:rPr>
              <w:t xml:space="preserve">Pauvreté</w:t>
            </w:r>
          </w:p>
        </w:tc>
        <w:tc>
          <w:tcPr>
            <w:tcW w:type="dxa" w:w="976"/>
            <w:shd w:fill="E8EDF2" w:color="auto" w:val="clear"/>
            <w:tcMar>
              <w:top w:type="dxa" w:w="60"/>
              <w:left w:type="dxa" w:w="100"/>
              <w:bottom w:type="dxa" w:w="60"/>
              <w:right w:type="dxa" w:w="100"/>
            </w:tcMar>
          </w:tcPr>
          <w:p>
            <w:r>
              <w:rPr>
                <w:b/>
                <w:bCs/>
                <w:i w:val="false"/>
                <w:iCs w:val="false"/>
                <w:sz w:val="19"/>
                <w:szCs w:val="19"/>
              </w:rPr>
              <w:t xml:space="preserve">Langue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bl>
    <w:p/>
    <w:p>
      <w:pPr>
        <w:pStyle w:val="Heading2"/>
        <w:spacing w:after="120" w:before="220"/>
      </w:pPr>
      <w:r>
        <w:t xml:space="preserve">Couverture des dimensions de variation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28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Dimension</w:t>
            </w:r>
          </w:p>
        </w:tc>
        <w:tc>
          <w:tcPr>
            <w:tcW w:type="dxa" w:w="3600"/>
            <w:shd w:fill="E8EDF2" w:color="auto" w:val="clear"/>
            <w:tcMar>
              <w:top w:type="dxa" w:w="60"/>
              <w:left w:type="dxa" w:w="100"/>
              <w:bottom w:type="dxa" w:w="60"/>
              <w:right w:type="dxa" w:w="100"/>
            </w:tcMar>
          </w:tcPr>
          <w:p>
            <w:r>
              <w:rPr>
                <w:b/>
                <w:bCs/>
                <w:i w:val="false"/>
                <w:iCs w:val="false"/>
                <w:sz w:val="19"/>
                <w:szCs w:val="19"/>
              </w:rPr>
              <w:t xml:space="preserve">Modalités recherchées</w:t>
            </w:r>
          </w:p>
        </w:tc>
        <w:tc>
          <w:tcPr>
            <w:tcW w:type="dxa" w:w="2826"/>
            <w:shd w:fill="E8EDF2" w:color="auto" w:val="clear"/>
            <w:tcMar>
              <w:top w:type="dxa" w:w="60"/>
              <w:left w:type="dxa" w:w="100"/>
              <w:bottom w:type="dxa" w:w="60"/>
              <w:right w:type="dxa" w:w="100"/>
            </w:tcMar>
          </w:tcPr>
          <w:p>
            <w:r>
              <w:rPr>
                <w:b/>
                <w:bCs/>
                <w:i w:val="false"/>
                <w:iCs w:val="false"/>
                <w:sz w:val="19"/>
                <w:szCs w:val="19"/>
              </w:rPr>
              <w:t xml:space="preserve">Effectif atteint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Qualification</w:t>
            </w:r>
          </w:p>
        </w:tc>
        <w:tc>
          <w:tcPr>
            <w:tcW w:type="dxa" w:w="3600"/>
            <w:tcMar>
              <w:top w:type="dxa" w:w="60"/>
              <w:left w:type="dxa" w:w="100"/>
              <w:bottom w:type="dxa" w:w="60"/>
              <w:right w:type="dxa" w:w="100"/>
            </w:tcMar>
          </w:tcPr>
          <w:p>
            <w:r>
              <w:rPr>
                <w:b w:val="false"/>
                <w:bCs w:val="false"/>
                <w:i w:val="false"/>
                <w:iCs w:val="false"/>
                <w:sz w:val="19"/>
                <w:szCs w:val="19"/>
              </w:rPr>
              <w:t xml:space="preserve">infirmiers ; sages-femmes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Fonction</w:t>
            </w:r>
          </w:p>
        </w:tc>
        <w:tc>
          <w:tcPr>
            <w:tcW w:type="dxa" w:w="3600"/>
            <w:tcMar>
              <w:top w:type="dxa" w:w="60"/>
              <w:left w:type="dxa" w:w="100"/>
              <w:bottom w:type="dxa" w:w="60"/>
              <w:right w:type="dxa" w:w="100"/>
            </w:tcMar>
          </w:tcPr>
          <w:p>
            <w:r>
              <w:rPr>
                <w:b w:val="false"/>
                <w:bCs w:val="false"/>
                <w:i w:val="false"/>
                <w:iCs w:val="false"/>
                <w:sz w:val="19"/>
                <w:szCs w:val="19"/>
              </w:rPr>
              <w:t xml:space="preserve">prestataires ; infirmiers titulaires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Ancienneté en CPN</w:t>
            </w:r>
          </w:p>
        </w:tc>
        <w:tc>
          <w:tcPr>
            <w:tcW w:type="dxa" w:w="3600"/>
            <w:tcMar>
              <w:top w:type="dxa" w:w="60"/>
              <w:left w:type="dxa" w:w="100"/>
              <w:bottom w:type="dxa" w:w="60"/>
              <w:right w:type="dxa" w:w="100"/>
            </w:tcMar>
          </w:tcPr>
          <w:p>
            <w:r>
              <w:rPr>
                <w:b w:val="false"/>
                <w:bCs w:val="false"/>
                <w:i w:val="false"/>
                <w:iCs w:val="false"/>
                <w:sz w:val="19"/>
                <w:szCs w:val="19"/>
              </w:rPr>
              <w:t xml:space="preserve">6 mois à 2 ans ; plus de 2 ans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3600"/>
            <w:tcMar>
              <w:top w:type="dxa" w:w="60"/>
              <w:left w:type="dxa" w:w="100"/>
              <w:bottom w:type="dxa" w:w="60"/>
              <w:right w:type="dxa" w:w="100"/>
            </w:tcMar>
          </w:tcPr>
          <w:p>
            <w:r>
              <w:rPr>
                <w:b w:val="false"/>
                <w:bCs w:val="false"/>
                <w:i w:val="false"/>
                <w:iCs w:val="false"/>
                <w:sz w:val="19"/>
                <w:szCs w:val="19"/>
              </w:rPr>
              <w:t xml:space="preserve">urbain ; rural périphérique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3600"/>
            <w:tcMar>
              <w:top w:type="dxa" w:w="60"/>
              <w:left w:type="dxa" w:w="100"/>
              <w:bottom w:type="dxa" w:w="60"/>
              <w:right w:type="dxa" w:w="100"/>
            </w:tcMar>
          </w:tcPr>
          <w:p>
            <w:r>
              <w:rPr>
                <w:b w:val="false"/>
                <w:bCs w:val="false"/>
                <w:i w:val="false"/>
                <w:iCs w:val="false"/>
                <w:sz w:val="19"/>
                <w:szCs w:val="19"/>
              </w:rPr>
              <w:t xml:space="preserve">proche ; éloignée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3600"/>
            <w:tcMar>
              <w:top w:type="dxa" w:w="60"/>
              <w:left w:type="dxa" w:w="100"/>
              <w:bottom w:type="dxa" w:w="60"/>
              <w:right w:type="dxa" w:w="100"/>
            </w:tcMar>
          </w:tcPr>
          <w:p>
            <w:r>
              <w:rPr>
                <w:b w:val="false"/>
                <w:bCs w:val="false"/>
                <w:i w:val="false"/>
                <w:iCs w:val="false"/>
                <w:sz w:val="19"/>
                <w:szCs w:val="19"/>
              </w:rPr>
              <w:t xml:space="preserve">élevé ; modéré</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Profil socio-économique du secteur</w:t>
            </w:r>
          </w:p>
        </w:tc>
        <w:tc>
          <w:tcPr>
            <w:tcW w:type="dxa" w:w="3600"/>
            <w:tcMar>
              <w:top w:type="dxa" w:w="60"/>
              <w:left w:type="dxa" w:w="100"/>
              <w:bottom w:type="dxa" w:w="60"/>
              <w:right w:type="dxa" w:w="100"/>
            </w:tcMar>
          </w:tcPr>
          <w:p>
            <w:r>
              <w:rPr>
                <w:b w:val="false"/>
                <w:bCs w:val="false"/>
                <w:i w:val="false"/>
                <w:iCs w:val="false"/>
                <w:sz w:val="19"/>
                <w:szCs w:val="19"/>
              </w:rPr>
              <w:t xml:space="preserve">pauvreté plus élevée ; plus faible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2. Annexe 1 — Index des entretiens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200"/>
        <w:gridCol w:w="900"/>
        <w:gridCol w:w="1300"/>
        <w:gridCol w:w="2000"/>
        <w:gridCol w:w="202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2000"/>
            <w:shd w:fill="E8EDF2" w:color="auto" w:val="clear"/>
            <w:tcMar>
              <w:top w:type="dxa" w:w="60"/>
              <w:left w:type="dxa" w:w="100"/>
              <w:bottom w:type="dxa" w:w="60"/>
              <w:right w:type="dxa" w:w="100"/>
            </w:tcMar>
          </w:tcPr>
          <w:p>
            <w:r>
              <w:rPr>
                <w:b/>
                <w:bCs/>
                <w:i w:val="false"/>
                <w:iCs w:val="false"/>
                <w:sz w:val="19"/>
                <w:szCs w:val="19"/>
              </w:rPr>
              <w:t xml:space="preserve">Transcription</w:t>
            </w:r>
          </w:p>
        </w:tc>
        <w:tc>
          <w:tcPr>
            <w:tcW w:type="dxa" w:w="2026"/>
            <w:shd w:fill="E8EDF2" w:color="auto" w:val="clear"/>
            <w:tcMar>
              <w:top w:type="dxa" w:w="60"/>
              <w:left w:type="dxa" w:w="100"/>
              <w:bottom w:type="dxa" w:w="60"/>
              <w:right w:type="dxa" w:w="100"/>
            </w:tcMar>
          </w:tcPr>
          <w:p>
            <w:r>
              <w:rPr>
                <w:b/>
                <w:bCs/>
                <w:i w:val="false"/>
                <w:iCs w:val="false"/>
                <w:sz w:val="19"/>
                <w:szCs w:val="19"/>
              </w:rPr>
              <w:t xml:space="preserve">Traduction vérifiée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3. Gabarit de transcription (un par entretien)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313"/>
        <w:gridCol w:w="2200"/>
        <w:gridCol w:w="2313"/>
      </w:tblGrid>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Code du participant</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Code de structure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Date</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Durée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Transcrit par</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Journal de bord</w:t>
      </w:r>
    </w:p>
    <w:p>
      <w:pPr>
        <w:rPr>
          <w:i/>
          <w:iCs/>
          <w:sz w:val="19"/>
          <w:szCs w:val="19"/>
        </w:rPr>
      </w:pPr>
      <w:r>
        <w:rPr>
          <w:i/>
          <w:iCs/>
          <w:sz w:val="19"/>
          <w:szCs w:val="19"/>
        </w:rPr>
        <w:t xml:space="preserve">Conditions du déroulement, éléments non verbaux, interruptions, réflexions du chercheur (§ 4.2.6).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Ouverture</w:t>
      </w:r>
    </w:p>
    <w:p>
      <w:pPr>
        <w:spacing w:after="40" w:before="120"/>
      </w:pPr>
      <w:r>
        <w:rPr>
          <w:b/>
          <w:bCs/>
          <w:sz w:val="20"/>
          <w:szCs w:val="20"/>
        </w:rPr>
        <w:t xml:space="preserve">O1. Pouvez-vous me parler de votre parcours et de la manière dont vous êtes arrivé à travailler en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O2. Comment décririez-vous une journée de consultation prénatale dans votre centre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Axe 1</w:t>
      </w:r>
    </w:p>
    <w:p>
      <w:pPr>
        <w:spacing w:after="40" w:before="120"/>
      </w:pPr>
      <w:r>
        <w:rPr>
          <w:b/>
          <w:bCs/>
          <w:sz w:val="20"/>
          <w:szCs w:val="20"/>
        </w:rPr>
        <w:t xml:space="preserve">Q1. Lorsqu'une femme enceinte se présente pour une consultation, pouvez-vous me raconter, étape par étape, comment se déroule sa prise en charge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Q2. Où se situe, dans ce déroulement, la mesure de la tension artérielle et la recherche d'un trouble du sucre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Q3. Racontez-moi une consultation au cours de laquelle vous avez trouvé une tension élevée ou un taux de sucre anormal chez une femme enceinte. Que s'est-il passé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Q4. À ce moment-là, qu'avez-vous expliqué à cette femme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Q5. Selon vous, que comprend une femme enceinte de ce que vous lui dites dans ces situations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Q6. Ce que vous expliquez à une femme, l'adaptez-vous selon les personnes ? Comment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Q7. Pour vous, que représente ce dépistage dans votre travail, si vous le comparez aux autres choses ou tâches que vous devez faire pendant une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Q8. Dépister l'hypertension et le diabète, est-ce que cela fait partie, selon vous, du rôle d'une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Axe 2</w:t>
      </w:r>
    </w:p>
    <w:p>
      <w:pPr>
        <w:spacing w:after="40" w:before="120"/>
      </w:pPr>
      <w:r>
        <w:rPr>
          <w:b/>
          <w:bCs/>
          <w:sz w:val="20"/>
          <w:szCs w:val="20"/>
        </w:rPr>
        <w:t xml:space="preserve">Q9. Qu'est-ce qui, dans votre travail, vous permet de faire ce dépistage comme vous souhaiteriez le faire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Q10. Racontez-moi une situation où vous n'avez pas pu réaliser ce dépistage, ou pas comme vous l'auriez voulu. Comment l'expliquez-vous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Q11. Parlez-moi des femmes que vous recevez en consultation prénatale. Y a-t-il des différences entre elles dans la manière dont se passe ce dépistage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Q12. Y a-t-il des femmes pour lesquelles vous savez d'avance que ce sera plus difficile ? Qu'est-ce qui fait cette difficulté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Q13. Que se passe-t-il, concrètement, lorsque vous détectez un cas ? Jusqu'où va votre rôle, et que devient la femme ensuite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Q14. Certaines femmes arrivent tard dans la grossesse, ou ne reviennent pas. D'après vous, pourquoi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Q15. Comment votre centre de santé vous a-t-il préparé à dépister ces deux maladies chez la femme enceinte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Q16. Selon vous, comment ce dépistage est-il considéré par les personnes qui organisent et supervisent votre travail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Q17. Si vous pouviez changer une seule chose pour que ce dépistage se fasse mieux dans votre centre, quelle serait-elle, et pourquoi celle-là plutôt qu'une autre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Q18. Qu'attendriez-vous de ceux qui prennent les décisions, au niveau du district ou au niveau national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Q19. Vous m'avez décrit des situations où le dépistage se passe bien et d'autres où il se passe mal. Trouvez-vous cela normal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Clôture</w:t>
      </w:r>
    </w:p>
    <w:p>
      <w:pPr>
        <w:spacing w:after="40" w:before="120"/>
      </w:pPr>
      <w:r>
        <w:rPr>
          <w:b/>
          <w:bCs/>
          <w:sz w:val="20"/>
          <w:szCs w:val="20"/>
        </w:rPr>
        <w:t xml:space="preserve">Q20. Y a-t-il quelque chose d'important sur ce sujet que je ne vous ai pas demandé et que vous souhaiteriez ajouter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r>
        <w:br w:type="page"/>
      </w:r>
    </w:p>
    <w:p>
      <w:pPr>
        <w:pStyle w:val="Heading1"/>
        <w:spacing w:after="160" w:before="280"/>
      </w:pPr>
      <w:r>
        <w:t xml:space="preserve">4. Annexe 2 — Grille d'observation du service (une par centre)</w:t>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avec une femme enceinte, donnée permettant d'identifier une patiente, jugement de conformité d'un geste. Aucune présence pendant l'examen clinique. Une demi-journée par centre.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 oui   ☐ partiellement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 (estimation de flux)</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800"/>
        <w:gridCol w:w="2300"/>
        <w:gridCol w:w="29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3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500"/>
        <w:gridCol w:w="37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7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E. Notes contextuelles libres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F. Réflexivité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r>
        <w:br w:type="page"/>
      </w:r>
    </w:p>
    <w:p>
      <w:pPr>
        <w:pStyle w:val="Heading1"/>
        <w:spacing w:after="160" w:before="280"/>
      </w:pPr>
      <w:r>
        <w:t xml:space="preserve">5. Annexe 3 — Fiche de données sociodémographiques et professionnelles</w:t>
      </w:r>
    </w:p>
    <w:p>
      <w:pPr>
        <w:rPr>
          <w:i/>
          <w:iCs/>
          <w:sz w:val="19"/>
          <w:szCs w:val="19"/>
        </w:rPr>
      </w:pPr>
      <w:r>
        <w:rPr>
          <w:i/>
          <w:iCs/>
          <w:sz w:val="19"/>
          <w:szCs w:val="19"/>
        </w:rPr>
        <w:t xml:space="preserve">Renseignée en début d'entretien. Aucun nom, aucune fonction nominative, aucun nom de structure. Les tranches sont préférées aux valeurs exactes.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P____ / CS____</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 — ………… min</w:t>
            </w:r>
          </w:p>
        </w:tc>
      </w:tr>
    </w:tbl>
    <w:p>
      <w:r>
        <w:br w:type="page"/>
      </w:r>
    </w:p>
    <w:p>
      <w:pPr>
        <w:pStyle w:val="Heading1"/>
        <w:spacing w:after="160" w:before="280"/>
      </w:pPr>
      <w:r>
        <w:t xml:space="preserve">6. Annexe 4 — Registre de suivi des consentements</w:t>
      </w:r>
    </w:p>
    <w:p>
      <w:pPr>
        <w:rPr>
          <w:i/>
          <w:iCs/>
          <w:sz w:val="19"/>
          <w:szCs w:val="19"/>
        </w:rPr>
      </w:pPr>
      <w:r>
        <w:rPr>
          <w:i/>
          <w:iCs/>
          <w:sz w:val="19"/>
          <w:szCs w:val="19"/>
        </w:rPr>
        <w:t xml:space="preserve">L'enregistrement et la citation d'extraits font l'objet d'accords DISTINCTS (§ 4.2.7). Les formulaires signés, en deux exemplaires, sont conservés à part ; ce registre ne fait que suivre les accords pour que l'analyse en tienne compte.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1000"/>
        <w:gridCol w:w="1150"/>
        <w:gridCol w:w="1050"/>
        <w:gridCol w:w="1150"/>
        <w:gridCol w:w="1400"/>
        <w:gridCol w:w="1100"/>
        <w:gridCol w:w="1526"/>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Langue du formulaire</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Consentement écrit</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Enregistrement</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Citation d'extraits</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Recontact</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Formulaire signé classé</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Particularités à respecter dans l'analyse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Accord particulier</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7. Annexe 9 — Données de routine du district</w:t>
      </w:r>
    </w:p>
    <w:p>
      <w:pPr>
        <w:rPr>
          <w:i/>
          <w:iCs/>
          <w:sz w:val="19"/>
          <w:szCs w:val="19"/>
        </w:rPr>
      </w:pPr>
      <w:r>
        <w:rPr>
          <w:i/>
          <w:iCs/>
          <w:sz w:val="19"/>
          <w:szCs w:val="19"/>
        </w:rPr>
        <w:t xml:space="preserve">Sollicitées par écrit auprès de la Direction de la santé du district (annexe 6, étape 5) ; dernière année civile complète ; restituées avec leur source et leur période.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Source</w:t>
            </w:r>
          </w:p>
        </w:tc>
        <w:tc>
          <w:tcPr>
            <w:tcW w:type="dxa" w:w="6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w:t>
            </w:r>
          </w:p>
        </w:tc>
        <w:tc>
          <w:tcPr>
            <w:tcW w:type="dxa" w:w="66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200"/>
        <w:gridCol w:w="1700"/>
        <w:gridCol w:w="1900"/>
        <w:gridCol w:w="1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Effectif CPN</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300"/>
        <w:gridCol w:w="2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Dépistages glycémiques en CPN</w:t>
            </w:r>
          </w:p>
        </w:tc>
        <w:tc>
          <w:tcPr>
            <w:tcW w:type="dxa" w:w="23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2526"/>
            <w:shd w:fill="E8EDF2" w:color="auto" w:val="clear"/>
            <w:tcMar>
              <w:top w:type="dxa" w:w="60"/>
              <w:left w:type="dxa" w:w="100"/>
              <w:bottom w:type="dxa" w:w="60"/>
              <w:right w:type="dxa" w:w="100"/>
            </w:tcMar>
          </w:tcPr>
          <w:p>
            <w:r>
              <w:rPr>
                <w:b/>
                <w:bCs/>
                <w:i w:val="false"/>
                <w:iCs w:val="false"/>
                <w:sz w:val="19"/>
                <w:szCs w:val="19"/>
              </w:rPr>
              <w:t xml:space="preserve">Profil de pauvreté du secteur</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rPr>
          <w:i/>
          <w:iCs/>
          <w:sz w:val="19"/>
          <w:szCs w:val="19"/>
        </w:rPr>
      </w:pPr>
      <w:r>
        <w:rPr>
          <w:i/>
          <w:iCs/>
          <w:sz w:val="19"/>
          <w:szCs w:val="19"/>
        </w:rPr>
        <w:t xml:space="preserve">Réserve de qualité (annexe 9)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2026-10-02T10:12:52.069Z</dcterms:created>
  <dcterms:modified xsi:type="dcterms:W3CDTF">2026-10-02T10:12:52.069Z</dcterms:modified>
</cp:coreProperties>
</file>

<file path=docProps/custom.xml><?xml version="1.0" encoding="utf-8"?>
<Properties xmlns="http://schemas.openxmlformats.org/officeDocument/2006/custom-properties" xmlns:vt="http://schemas.openxmlformats.org/officeDocument/2006/docPropsVTypes"/>
</file>