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b/>
          <w:bCs/>
          <w:sz w:val="22"/>
          <w:szCs w:val="22"/>
        </w:rPr>
        <w:t xml:space="preserve">UNIVERSITÉ DE PARAKOU — ENATSE</w:t>
      </w:r>
    </w:p>
    <w:p>
      <w:pPr>
        <w:spacing w:after="300"/>
        <w:jc w:val="center"/>
      </w:pPr>
      <w:r>
        <w:rPr>
          <w:sz w:val="20"/>
          <w:szCs w:val="20"/>
        </w:rPr>
        <w:t xml:space="preserve">Master en Santé publique — Promotion de la santé</w:t>
      </w:r>
    </w:p>
    <w:p>
      <w:pPr>
        <w:spacing w:after="240"/>
        <w:jc w:val="center"/>
      </w:pPr>
      <w:r>
        <w:rPr>
          <w:i/>
          <w:iCs/>
          <w:sz w:val="22"/>
          <w:szCs w:val="22"/>
        </w:rPr>
        <w:t xml:space="preserve">L'équité d'accès au dépistage capacitant de l'hypertension artérielle et du diabète en consultation prénatale : perceptions et pratiques déclarées des infirmiers et sages-femmes de Ngoma (Rwanda)</w:t>
      </w:r>
    </w:p>
    <w:p>
      <w:pPr>
        <w:spacing w:after="200" w:before="200"/>
        <w:jc w:val="center"/>
      </w:pPr>
      <w:r>
        <w:rPr>
          <w:b/>
          <w:bCs/>
          <w:sz w:val="32"/>
          <w:szCs w:val="32"/>
        </w:rPr>
        <w:t xml:space="preserve">Note de positionnalité — modèle d'exercice</w:t>
      </w:r>
    </w:p>
    <w:p/>
    <w:tbl>
      <w:tblPr>
        <w:tblW w:type="dxa" w:w="9026"/>
        <w:tblBorders>
          <w:top w:val="single" w:color="C0392B" w:sz="12"/>
          <w:left w:val="single" w:color="C0392B" w:sz="12"/>
          <w:bottom w:val="single" w:color="C0392B" w:sz="12"/>
          <w:right w:val="single" w:color="C0392B" w:sz="12"/>
          <w:insideH w:val="single" w:color="auto" w:sz="4"/>
          <w:insideV w:val="single" w:color="auto" w:sz="4"/>
        </w:tblBorders>
      </w:tblPr>
      <w:tblGrid>
        <w:gridCol w:w="9026"/>
      </w:tblGrid>
      <w:tr>
        <w:tc>
          <w:tcPr>
            <w:tcW w:type="dxa" w:w="9026"/>
            <w:shd w:fill="FDEDEC" w:color="auto" w:val="clear"/>
            <w:tcMar>
              <w:top w:type="dxa" w:w="140"/>
              <w:left w:type="dxa" w:w="160"/>
              <w:bottom w:type="dxa" w:w="140"/>
              <w:right w:type="dxa" w:w="160"/>
            </w:tcMar>
          </w:tcPr>
          <w:p>
            <w:r>
              <w:rPr>
                <w:b/>
                <w:bCs/>
                <w:color w:val="C0392B"/>
                <w:sz w:val="22"/>
                <w:szCs w:val="22"/>
              </w:rPr>
              <w:t xml:space="preserve">⚠ DONNÉES ENTIÈREMENT SIMULÉES — EXERCICE DE FORMATION</w:t>
            </w:r>
          </w:p>
          <w:p>
            <w:r>
              <w:rPr>
                <w:sz w:val="19"/>
                <w:szCs w:val="19"/>
              </w:rPr>
              <w:t xml:space="preserve">Aucun entretien n'a été conduit. Aucun centre de santé n'a été visité. Aucune des personnes décrites n'existe. Ce document sert exclusivement à apprendre à manipuler l'outil d'analyse avant la collecte réelle.</w:t>
            </w:r>
          </w:p>
          <w:p>
            <w:r>
              <w:rPr>
                <w:b/>
                <w:bCs/>
                <w:sz w:val="19"/>
                <w:szCs w:val="19"/>
              </w:rPr>
              <w:t xml:space="preserve">Il ne peut être cité, ni figurer dans le mémoire, ni servir de résultat, ni être présenté à un comité d'éthique ou à un jury comme une donnée de terrain.</w:t>
            </w:r>
          </w:p>
        </w:tc>
      </w:tr>
    </w:tbl>
    <w:p/>
    <w:p>
      <w:pPr>
        <w:spacing w:after="80"/>
        <w:rPr>
          <w:sz w:val="20"/>
          <w:szCs w:val="20"/>
        </w:rPr>
      </w:pPr>
      <w:r>
        <w:rPr>
          <w:sz w:val="20"/>
          <w:szCs w:val="20"/>
        </w:rPr>
        <w:t xml:space="preserve">Modèle rédigé pour s'entraîner. Il suit le protocole (annexe 8 : « journal réflexif et note de positionnalité », au titre de la confirmabilité) et les items 1 à 8 de la grille COREQ.</w:t>
      </w:r>
    </w:p>
    <w:p>
      <w:pPr>
        <w:spacing w:after="80"/>
        <w:rPr>
          <w:sz w:val="20"/>
          <w:szCs w:val="20"/>
        </w:rPr>
      </w:pPr>
      <w:r>
        <w:rPr>
          <w:sz w:val="20"/>
          <w:szCs w:val="20"/>
        </w:rPr>
        <w:t xml:space="preserve"/>
      </w:r>
    </w:p>
    <w:p>
      <w:pPr>
        <w:spacing w:after="80"/>
        <w:rPr>
          <w:sz w:val="20"/>
          <w:szCs w:val="20"/>
        </w:rPr>
      </w:pPr>
      <w:r>
        <w:rPr>
          <w:sz w:val="20"/>
          <w:szCs w:val="20"/>
        </w:rPr>
        <w:t xml:space="preserve">Les éléments biographiques viennent du protocole corrigé (page de garde, § 4.2.5.6). Les passages SURLIGNÉS entre crochets sont des hypothèses d'exercice : ce que le protocole ne dit pas, à préciser. Remplacez-les par votre situation réelle. Les exemples de la partie 5 viennent des journaux de bord simulés.</w:t>
      </w:r>
    </w:p>
    <w:p>
      <w:pPr>
        <w:spacing w:after="80"/>
        <w:rPr>
          <w:sz w:val="20"/>
          <w:szCs w:val="20"/>
        </w:rPr>
      </w:pPr>
      <w:r>
        <w:rPr>
          <w:sz w:val="20"/>
          <w:szCs w:val="20"/>
        </w:rPr>
        <w:t xml:space="preserve"/>
      </w:r>
    </w:p>
    <w:p>
      <w:pPr>
        <w:spacing w:after="80"/>
        <w:rPr>
          <w:sz w:val="20"/>
          <w:szCs w:val="20"/>
        </w:rPr>
      </w:pPr>
      <w:r>
        <w:rPr>
          <w:sz w:val="20"/>
          <w:szCs w:val="20"/>
        </w:rPr>
        <w:t xml:space="preserve">Ce même texte figure dans le projet QualiCode, parmi les mémos de projet.</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Chercheur</w:t>
            </w:r>
          </w:p>
        </w:tc>
        <w:tc>
          <w:tcPr>
            <w:tcW w:type="dxa" w:w="6626"/>
            <w:tcMar>
              <w:top w:type="dxa" w:w="60"/>
              <w:left w:type="dxa" w:w="100"/>
              <w:bottom w:type="dxa" w:w="60"/>
              <w:right w:type="dxa" w:w="100"/>
            </w:tcMar>
          </w:tcPr>
          <w:p>
            <w:r>
              <w:rPr>
                <w:b w:val="false"/>
                <w:bCs w:val="false"/>
                <w:i w:val="false"/>
                <w:iCs w:val="false"/>
                <w:sz w:val="19"/>
                <w:szCs w:val="19"/>
              </w:rPr>
              <w:t xml:space="preserve">MUKAKI DUNIA Jacques</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Institution</w:t>
            </w:r>
          </w:p>
        </w:tc>
        <w:tc>
          <w:tcPr>
            <w:tcW w:type="dxa" w:w="6626"/>
            <w:tcMar>
              <w:top w:type="dxa" w:w="60"/>
              <w:left w:type="dxa" w:w="100"/>
              <w:bottom w:type="dxa" w:w="60"/>
              <w:right w:type="dxa" w:w="100"/>
            </w:tcMar>
          </w:tcPr>
          <w:p>
            <w:r>
              <w:rPr>
                <w:b w:val="false"/>
                <w:bCs w:val="false"/>
                <w:i w:val="false"/>
                <w:iCs w:val="false"/>
                <w:sz w:val="19"/>
                <w:szCs w:val="19"/>
              </w:rPr>
              <w:t xml:space="preserve">ENATSE, Université de Parakou (Bénin) — Master en Santé publique, Promotion de la santé</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Direction</w:t>
            </w:r>
          </w:p>
        </w:tc>
        <w:tc>
          <w:tcPr>
            <w:tcW w:type="dxa" w:w="6626"/>
            <w:tcMar>
              <w:top w:type="dxa" w:w="60"/>
              <w:left w:type="dxa" w:w="100"/>
              <w:bottom w:type="dxa" w:w="60"/>
              <w:right w:type="dxa" w:w="100"/>
            </w:tcMar>
          </w:tcPr>
          <w:p>
            <w:r>
              <w:rPr>
                <w:b w:val="false"/>
                <w:bCs w:val="false"/>
                <w:i w:val="false"/>
                <w:iCs w:val="false"/>
                <w:sz w:val="19"/>
                <w:szCs w:val="19"/>
              </w:rPr>
              <w:t xml:space="preserve">Professeure N. Fanny M. HOUNKPONOU AHOUINGNAN</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Période simulée</w:t>
            </w:r>
          </w:p>
        </w:tc>
        <w:tc>
          <w:tcPr>
            <w:tcW w:type="dxa" w:w="6626"/>
            <w:tcMar>
              <w:top w:type="dxa" w:w="60"/>
              <w:left w:type="dxa" w:w="100"/>
              <w:bottom w:type="dxa" w:w="60"/>
              <w:right w:type="dxa" w:w="100"/>
            </w:tcMar>
          </w:tcPr>
          <w:p>
            <w:r>
              <w:rPr>
                <w:b w:val="false"/>
                <w:bCs w:val="false"/>
                <w:i w:val="false"/>
                <w:iCs w:val="false"/>
                <w:sz w:val="19"/>
                <w:szCs w:val="19"/>
              </w:rPr>
              <w:t xml:space="preserve">11 août – 30 septembre 2026 (période prévue au protocole, § 4.2.5.3)</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Échantillon simulé</w:t>
            </w:r>
          </w:p>
        </w:tc>
        <w:tc>
          <w:tcPr>
            <w:tcW w:type="dxa" w:w="6626"/>
            <w:tcMar>
              <w:top w:type="dxa" w:w="60"/>
              <w:left w:type="dxa" w:w="100"/>
              <w:bottom w:type="dxa" w:w="60"/>
              <w:right w:type="dxa" w:w="100"/>
            </w:tcMar>
          </w:tcPr>
          <w:p>
            <w:r>
              <w:rPr>
                <w:b w:val="false"/>
                <w:bCs w:val="false"/>
                <w:i w:val="false"/>
                <w:iCs w:val="false"/>
                <w:sz w:val="19"/>
                <w:szCs w:val="19"/>
              </w:rPr>
              <w:t xml:space="preserve">10 infirmiers ou infirmières et 10 sages-femmes, 15 centres de santé codés (CS01 à CS15), en deux vagues</w:t>
            </w:r>
          </w:p>
        </w:tc>
      </w:tr>
    </w:tbl>
    <w:p>
      <w:r>
        <w:br w:type="page"/>
      </w:r>
    </w:p>
    <w:p>
      <w:pPr>
        <w:spacing w:after="100"/>
      </w:pPr>
      <w:r>
        <w:rPr>
          <w:sz w:val="21"/>
          <w:szCs w:val="21"/>
        </w:rPr>
        <w:t xml:space="preserve">MODÈLE D'EXERCICE — DONNÉES SIMULÉES. Cette note montre la forme attendue d'une note de positionnalité ; elle ne décrit pas une collecte réelle. Les éléments biographiques viennent du protocole (page de garde, § 4.2.5.6). Les passages </w:t>
      </w:r>
      <w:r>
        <w:rPr>
          <w:sz w:val="21"/>
          <w:szCs w:val="21"/>
          <w:highlight w:val="yellow"/>
        </w:rPr>
        <w:t xml:space="preserve">[entre crochets]</w:t>
      </w:r>
      <w:r>
        <w:rPr>
          <w:sz w:val="21"/>
          <w:szCs w:val="21"/>
        </w:rPr>
        <w:t xml:space="preserve"> restent des HYPOTHÈSES D'EXERCICE : remplacez-les par votre situation réelle, puis réécrivez le reste avec vos propres mots.</w:t>
      </w:r>
    </w:p>
    <w:p>
      <w:pPr>
        <w:spacing w:after="100"/>
      </w:pPr>
      <w:r>
        <w:rPr>
          <w:sz w:val="21"/>
          <w:szCs w:val="21"/>
        </w:rPr>
        <w:t xml:space="preserve">Le protocole la prévoit au titre de la confirmabilité (annexe 8 : « journal réflexif et note de positionnalité »). Elle s'écrit en deux temps : avant le codage (parties 1 à 4), puis à la fin de l'analyse (partie 5). Les parties 1 et 2 suivent les items 1 à 8 de la grille COREQ (domaine 1 : équipe de recherche et réflexivité), que le protocole retient pour le rapportage.</w:t>
      </w:r>
    </w:p>
    <w:p>
      <w:pPr>
        <w:pStyle w:val="Heading1"/>
        <w:spacing w:after="160" w:before="280"/>
      </w:pPr>
      <w:r>
        <w:t xml:space="preserve">PREMIER TEMPS — AVANT LE CODAGE</w:t>
      </w:r>
    </w:p>
    <w:p>
      <w:pPr>
        <w:pStyle w:val="Heading2"/>
        <w:spacing w:after="120" w:before="220"/>
      </w:pPr>
      <w:r>
        <w:t xml:space="preserve">1. QUI JE SUIS DANS CETTE ÉTUDE (COREQ, items 1 à 5)</w:t>
      </w:r>
    </w:p>
    <w:p>
      <w:pPr>
        <w:spacing w:after="100"/>
      </w:pPr>
      <w:r>
        <w:rPr>
          <w:sz w:val="21"/>
          <w:szCs w:val="21"/>
        </w:rPr>
        <w:t xml:space="preserve">Je suis Jacques MUKAKI DUNIA. Je prépare un Master de santé publique, option Promotion de la santé, à l'ENATSE (Université de Parakou, Bénin). Ce travail est mon mémoire de fin de formation, dirigé par la Professeure N. Fanny M. HOUNKPONOU AHOUINGNAN.</w:t>
      </w:r>
    </w:p>
    <w:p>
      <w:pPr>
        <w:spacing w:after="100"/>
      </w:pPr>
      <w:r>
        <w:rPr>
          <w:sz w:val="21"/>
          <w:szCs w:val="21"/>
        </w:rPr>
        <w:t xml:space="preserve">J'ai conduit moi-même les 20 entretiens et les 15 observations. Un collaborateur trilingue a transcrit en kinyarwanda les entretiens conduits dans cette langue ; j'en ai fait la traduction française. J'ai transcrit moi-même les 4 entretiens conduits en français à la demande des participantes.</w:t>
      </w:r>
    </w:p>
    <w:p>
      <w:pPr>
        <w:spacing w:after="100"/>
      </w:pPr>
      <w:r>
        <w:rPr>
          <w:sz w:val="21"/>
          <w:szCs w:val="21"/>
        </w:rPr>
        <w:t xml:space="preserve">Je suis un homme, né en 1977 à Bukavu (République démocratique du Congo) ; j'avais 48 ans pendant la collecte. J'exerce depuis plus de vingt ans dans le domaine de la santé, notamment en biologie médicale, mais jamais en consultation prénatale (protocole, § 4.2.5.6). Ces trois éléments comptent ici : 14 des 20 participants sont des femmes, dont 4 ont entre 20 et 29 ans ; je suis plus âgé que la plupart d'entre eux ; et mon métier m'a appris à regarder un laboratoire avant de regarder une salle de consultation.</w:t>
      </w:r>
    </w:p>
    <w:p>
      <w:pPr>
        <w:spacing w:after="100"/>
      </w:pPr>
      <w:r>
        <w:rPr>
          <w:sz w:val="21"/>
          <w:szCs w:val="21"/>
        </w:rPr>
        <w:t xml:space="preserve">Formation à la recherche qualitative : </w:t>
      </w:r>
      <w:r>
        <w:rPr>
          <w:sz w:val="21"/>
          <w:szCs w:val="21"/>
          <w:highlight w:val="yellow"/>
        </w:rPr>
        <w:t xml:space="preserve">[les enseignements de méthodologie du master ; cette simulation est mon premier exercice complet de codage]</w:t>
      </w:r>
      <w:r>
        <w:rPr>
          <w:sz w:val="21"/>
          <w:szCs w:val="21"/>
        </w:rPr>
        <w:t xml:space="preserve">. Je n'avais encore jamais conduit d'entretien de recherche.</w:t>
      </w:r>
    </w:p>
    <w:p>
      <w:pPr>
        <w:pStyle w:val="Heading2"/>
        <w:spacing w:after="120" w:before="220"/>
      </w:pPr>
      <w:r>
        <w:t xml:space="preserve">2. MA RELATION AU TERRAIN ET AUX PARTICIPANTS (COREQ, items 6 à 8)</w:t>
      </w:r>
    </w:p>
    <w:p>
      <w:pPr>
        <w:spacing w:after="100"/>
      </w:pPr>
      <w:r>
        <w:rPr>
          <w:sz w:val="21"/>
          <w:szCs w:val="21"/>
        </w:rPr>
        <w:t xml:space="preserve">Ce que les participants savaient de moi. L'introduction lue au début de chaque entretien disait mon nom, mon master, mon université au Bénin, et l'objet de l'étude : comprendre comment les infirmiers et sages-femmes qui assurent la CPN voient le dépistage de l'hypertension et du diabète. Elle ne disait rien de mes convictions sur l'équité, et le guide m'interdisait de prononcer les mots « équité », « justice sociale » et « inégalité ».</w:t>
      </w:r>
    </w:p>
    <w:p>
      <w:pPr>
        <w:spacing w:after="100"/>
      </w:pPr>
      <w:r>
        <w:rPr>
          <w:sz w:val="21"/>
          <w:szCs w:val="21"/>
        </w:rPr>
        <w:t xml:space="preserve">Ce qu'ils ont pu supposer. Une étude autorisée par le district peut être prise pour une évaluation. Un titulaire (P12) m'a demandé, à la fin de l'entretien, si ses réponses seraient transmises au district. D'autres l'ont peut-être pensé sans le dire. C'est la principale source possible de désirabilité sociale dans ce matériau : décrire le service tel qu'il devrait être plutôt que tel qu'il est.</w:t>
      </w:r>
    </w:p>
    <w:p>
      <w:pPr>
        <w:spacing w:after="100"/>
      </w:pPr>
      <w:r>
        <w:rPr>
          <w:sz w:val="21"/>
          <w:szCs w:val="21"/>
        </w:rPr>
        <w:t xml:space="preserve">Je n'exerce ni en consultation prénatale ni dans la hiérarchie des participants (protocole, § 4.2.5.6). </w:t>
      </w:r>
      <w:r>
        <w:rPr>
          <w:sz w:val="21"/>
          <w:szCs w:val="21"/>
          <w:highlight w:val="yellow"/>
        </w:rPr>
        <w:t xml:space="preserve">[À préciser : ai-je exercé dans le district de Ngoma, ou connais-je personnellement certains participants ? Si oui, le dire ici et indiquer comment cela a été géré.]</w:t>
      </w:r>
    </w:p>
    <w:p>
      <w:pPr>
        <w:spacing w:after="100"/>
      </w:pPr>
      <w:r>
        <w:rPr>
          <w:sz w:val="21"/>
          <w:szCs w:val="21"/>
        </w:rPr>
        <w:t xml:space="preserve">Une position à la fois proche et extérieure. Proche, parce que j'ai conduit 17 entretiens en kinyarwanda — langue que je maîtrise à un niveau permettant un entretien compréhensif, sans que ce soit ma langue première — et que je connais le système de santé rwandais : registres, indicateurs de CPN, supervision, références vers l'hôpital. Cela m'a permis de comprendre sans explication des allusions qu'un observateur étranger n'aurait pas saisies. Le risque est symétrique : ne pas faire expliciter ce qui « va de soi », alors que c'est souvent là que se loge la représentation professionnelle. Extérieure, parce que je viens d'une université étrangère, que je n'exerce pas dans ces centres, que je n'y reviendrai pas au quotidien, et que le kinyarwanda n'est pas ma langue première : certaines nuances ont pu m'échapper, que la vérification indépendante des traductions devait rattraper.</w:t>
      </w:r>
    </w:p>
    <w:p>
      <w:pPr>
        <w:spacing w:after="100"/>
      </w:pPr>
      <w:r>
        <w:rPr>
          <w:sz w:val="21"/>
          <w:szCs w:val="21"/>
        </w:rPr>
        <w:t xml:space="preserve">Les asymétries. Les non-titulaires (15 participants sur 20), souvent les plus jeunes dans le métier, étaient les plus exposés : ils parlaient d'un service dont ils ne sont pas responsables, parfois en présence de leur titulaire dans le bâtiment. Une jeune sage-femme (P03) a demandé deux fois si sa réponse était « juste ». Pendant les observations, ma seule présence a modifié certains gestes : le lavage des mains a été plus soigné dans les premières minutes à CS02, et à CS07, où la consultation se tient dans une salle unique, ma place pesait forcément.</w:t>
      </w:r>
    </w:p>
    <w:p>
      <w:pPr>
        <w:pStyle w:val="Heading2"/>
        <w:spacing w:after="120" w:before="220"/>
      </w:pPr>
      <w:r>
        <w:t xml:space="preserve">3. CE QUE JE PENSAIS TROUVER (présupposés avant la collecte)</w:t>
      </w:r>
    </w:p>
    <w:p>
      <w:pPr>
        <w:spacing w:after="100"/>
      </w:pPr>
      <w:r>
        <w:rPr>
          <w:sz w:val="21"/>
          <w:szCs w:val="21"/>
        </w:rPr>
        <w:t xml:space="preserve">Je les écris avant le codage pour pouvoir, à la fin, vérifier s'ils ont orienté ma lecture.</w:t>
      </w:r>
    </w:p>
    <w:p>
      <w:pPr>
        <w:pStyle w:val="ListParagraph"/>
        <w:numPr>
          <w:ilvl w:val="0"/>
          <w:numId w:val="1"/>
        </w:numPr>
        <w:spacing w:after="100"/>
      </w:pPr>
      <w:r>
        <w:rPr>
          <w:sz w:val="21"/>
          <w:szCs w:val="21"/>
        </w:rPr>
        <w:t xml:space="preserve">Je pensais que la contrainte principale serait l'équipement : tensiomètres en panne, absence de glucomètre, ruptures de bandelettes.</w:t>
      </w:r>
    </w:p>
    <w:p>
      <w:pPr>
        <w:pStyle w:val="ListParagraph"/>
        <w:numPr>
          <w:ilvl w:val="0"/>
          <w:numId w:val="1"/>
        </w:numPr>
        <w:spacing w:after="100"/>
      </w:pPr>
      <w:r>
        <w:rPr>
          <w:sz w:val="21"/>
          <w:szCs w:val="21"/>
        </w:rPr>
        <w:t xml:space="preserve">Je m'attendais à ce que les participants expliquent les différences d'accès par la pauvreté et la distance, c'est-à-dire par les catégories de mon cadre conceptuel.</w:t>
      </w:r>
    </w:p>
    <w:p>
      <w:pPr>
        <w:pStyle w:val="ListParagraph"/>
        <w:numPr>
          <w:ilvl w:val="0"/>
          <w:numId w:val="1"/>
        </w:numPr>
        <w:spacing w:after="100"/>
      </w:pPr>
      <w:r>
        <w:rPr>
          <w:sz w:val="21"/>
          <w:szCs w:val="21"/>
        </w:rPr>
        <w:t xml:space="preserve">Mon cadre (le dépistage « capacitant », l'équité) est normatif. Il porte le risque de lire tout propos comme un écart à une norme, et de transformer l'analyse en inventaire de manques.</w:t>
      </w:r>
    </w:p>
    <w:p>
      <w:pPr>
        <w:pStyle w:val="ListParagraph"/>
        <w:numPr>
          <w:ilvl w:val="0"/>
          <w:numId w:val="1"/>
        </w:numPr>
        <w:spacing w:after="100"/>
      </w:pPr>
      <w:r>
        <w:rPr>
          <w:sz w:val="21"/>
          <w:szCs w:val="21"/>
        </w:rPr>
        <w:t xml:space="preserve">J'ai de la sympathie pour des soignants qui travaillent dans des conditions difficiles. Cela peut me conduire à excuser trop vite ce qui relève des pratiques, ou, à l'inverse, à durcir le jugement quand le discours et l'observation ne concordent pas.</w:t>
      </w:r>
    </w:p>
    <w:p>
      <w:pPr>
        <w:pStyle w:val="ListParagraph"/>
        <w:numPr>
          <w:ilvl w:val="0"/>
          <w:numId w:val="1"/>
        </w:numPr>
        <w:spacing w:after="100"/>
      </w:pPr>
      <w:r>
        <w:rPr>
          <w:sz w:val="21"/>
          <w:szCs w:val="21"/>
        </w:rPr>
        <w:t xml:space="preserve">Les propos des participants sur les femmes (« elles ne reviennent pas », « elles préfèrent le guérisseur ») risquent d'être lus comme des faits. Le protocole les traite comme des représentations professionnelles : je dois m'y tenir, sans les approuver ni les corriger.</w:t>
      </w:r>
    </w:p>
    <w:p>
      <w:pPr>
        <w:pStyle w:val="Heading2"/>
        <w:spacing w:after="120" w:before="220"/>
      </w:pPr>
      <w:r>
        <w:t xml:space="preserve">4. CE QUE JE FAIS POUR CONTENIR CES INFLUENCES</w:t>
      </w:r>
    </w:p>
    <w:p>
      <w:pPr>
        <w:pStyle w:val="ListParagraph"/>
        <w:numPr>
          <w:ilvl w:val="0"/>
          <w:numId w:val="1"/>
        </w:numPr>
        <w:spacing w:after="100"/>
      </w:pPr>
      <w:r>
        <w:rPr>
          <w:sz w:val="21"/>
          <w:szCs w:val="21"/>
        </w:rPr>
        <w:t xml:space="preserve">Relances neutres ; aucun des trois mots interdits n'est prononcé.</w:t>
      </w:r>
    </w:p>
    <w:p>
      <w:pPr>
        <w:pStyle w:val="ListParagraph"/>
        <w:numPr>
          <w:ilvl w:val="0"/>
          <w:numId w:val="1"/>
        </w:numPr>
        <w:spacing w:after="100"/>
      </w:pPr>
      <w:r>
        <w:rPr>
          <w:sz w:val="21"/>
          <w:szCs w:val="21"/>
        </w:rPr>
        <w:t xml:space="preserve">Journal de bord rédigé après chaque entretien et chaque observation, avec une rubrique « Réflexion » où je note ce que j'ai pu induire.</w:t>
      </w:r>
    </w:p>
    <w:p>
      <w:pPr>
        <w:pStyle w:val="ListParagraph"/>
        <w:numPr>
          <w:ilvl w:val="0"/>
          <w:numId w:val="1"/>
        </w:numPr>
        <w:spacing w:after="100"/>
      </w:pPr>
      <w:r>
        <w:rPr>
          <w:sz w:val="21"/>
          <w:szCs w:val="21"/>
        </w:rPr>
        <w:t xml:space="preserve">Double codage d'un tiers des entretiens par un second codeur, puis recodage de deux entretiens par moi-même, à distance, pour mesurer ma propre stabilité.</w:t>
      </w:r>
    </w:p>
    <w:p>
      <w:pPr>
        <w:pStyle w:val="ListParagraph"/>
        <w:numPr>
          <w:ilvl w:val="0"/>
          <w:numId w:val="1"/>
        </w:numPr>
        <w:spacing w:after="100"/>
      </w:pPr>
      <w:r>
        <w:rPr>
          <w:sz w:val="21"/>
          <w:szCs w:val="21"/>
        </w:rPr>
        <w:t xml:space="preserve">Triangulation entre entretiens, observations et données de routine, en consignant les concordances autant que les écarts, et sans imputer un écart à une intention.</w:t>
      </w:r>
    </w:p>
    <w:p>
      <w:pPr>
        <w:pStyle w:val="ListParagraph"/>
        <w:numPr>
          <w:ilvl w:val="0"/>
          <w:numId w:val="1"/>
        </w:numPr>
        <w:spacing w:after="100"/>
      </w:pPr>
      <w:r>
        <w:rPr>
          <w:sz w:val="21"/>
          <w:szCs w:val="21"/>
        </w:rPr>
        <w:t xml:space="preserve">Vérification des interprétations auprès des participants qui l'ont acceptée (P08 et P20 l'ont refusée).</w:t>
      </w:r>
    </w:p>
    <w:p>
      <w:pPr>
        <w:pStyle w:val="ListParagraph"/>
        <w:numPr>
          <w:ilvl w:val="0"/>
          <w:numId w:val="1"/>
        </w:numPr>
        <w:spacing w:after="100"/>
      </w:pPr>
      <w:r>
        <w:rPr>
          <w:sz w:val="21"/>
          <w:szCs w:val="21"/>
        </w:rPr>
        <w:t xml:space="preserve">Codes inductifs gardés ouverts : si mes présupposés ne se vérifient pas, la grille doit changer, et le cadre avec elle.</w:t>
      </w:r>
    </w:p>
    <w:p>
      <w:pPr>
        <w:pStyle w:val="ListParagraph"/>
        <w:numPr>
          <w:ilvl w:val="0"/>
          <w:numId w:val="1"/>
        </w:numPr>
        <w:spacing w:after="100"/>
      </w:pPr>
      <w:r>
        <w:rPr>
          <w:sz w:val="21"/>
          <w:szCs w:val="21"/>
        </w:rPr>
        <w:t xml:space="preserve">Respect strict des consentements : P05 n'est jamais cité ; les extraits de P19 ne sont jamais associés à son centre.</w:t>
      </w:r>
    </w:p>
    <w:p>
      <w:pPr>
        <w:pStyle w:val="Heading1"/>
        <w:spacing w:after="160" w:before="280"/>
      </w:pPr>
      <w:r>
        <w:t xml:space="preserve">SECOND TEMPS — À LA FIN DE L'ANALYSE</w:t>
      </w:r>
    </w:p>
    <w:p>
      <w:pPr>
        <w:pStyle w:val="Heading2"/>
        <w:spacing w:after="120" w:before="220"/>
      </w:pPr>
      <w:r>
        <w:t xml:space="preserve">5. CE QUE MA POSITION A PRODUIT, ET CE QUE J'EN TIRE</w:t>
      </w:r>
    </w:p>
    <w:p>
      <w:pPr>
        <w:spacing w:after="100"/>
      </w:pPr>
      <w:r>
        <w:rPr>
          <w:sz w:val="21"/>
          <w:szCs w:val="21"/>
        </w:rPr>
        <w:t xml:space="preserve">Ce que le journal montre de mes propres interventions. Relu d'un bloc, il fait apparaître des moments précis où j'ai pu orienter le matériau :</w:t>
      </w:r>
    </w:p>
    <w:p>
      <w:pPr>
        <w:pStyle w:val="ListParagraph"/>
        <w:numPr>
          <w:ilvl w:val="0"/>
          <w:numId w:val="1"/>
        </w:numPr>
        <w:spacing w:after="100"/>
      </w:pPr>
      <w:r>
        <w:rPr>
          <w:sz w:val="21"/>
          <w:szCs w:val="21"/>
        </w:rPr>
        <w:t xml:space="preserve">P02 : relance trop rapide à la question 6, qui suggérait presque la réponse. Ce passage doit être lu avec prudence.</w:t>
      </w:r>
    </w:p>
    <w:p>
      <w:pPr>
        <w:pStyle w:val="ListParagraph"/>
        <w:numPr>
          <w:ilvl w:val="0"/>
          <w:numId w:val="1"/>
        </w:numPr>
        <w:spacing w:after="100"/>
      </w:pPr>
      <w:r>
        <w:rPr>
          <w:sz w:val="21"/>
          <w:szCs w:val="21"/>
        </w:rPr>
        <w:t xml:space="preserve">P09, P15 : tentation de valoriser par mes réactions les initiatives décrites. J'ai dû me limiter aux relances neutres.</w:t>
      </w:r>
    </w:p>
    <w:p>
      <w:pPr>
        <w:pStyle w:val="ListParagraph"/>
        <w:numPr>
          <w:ilvl w:val="0"/>
          <w:numId w:val="1"/>
        </w:numPr>
        <w:spacing w:after="100"/>
      </w:pPr>
      <w:r>
        <w:rPr>
          <w:sz w:val="21"/>
          <w:szCs w:val="21"/>
        </w:rPr>
        <w:t xml:space="preserve">P10 : relance manquée sur le rôle du conjoint, par gêne. Ce thème est donc probablement sous-représenté dans mon corpus du fait de ma conduite, pas seulement du fait des participants.</w:t>
      </w:r>
    </w:p>
    <w:p>
      <w:pPr>
        <w:pStyle w:val="ListParagraph"/>
        <w:numPr>
          <w:ilvl w:val="0"/>
          <w:numId w:val="1"/>
        </w:numPr>
        <w:spacing w:after="100"/>
      </w:pPr>
      <w:r>
        <w:rPr>
          <w:sz w:val="21"/>
          <w:szCs w:val="21"/>
        </w:rPr>
        <w:t xml:space="preserve">P11 : surprise devant un dépistage glycémique décrit comme une routine. Il a fallu ne pas la laisser paraître.</w:t>
      </w:r>
    </w:p>
    <w:p>
      <w:pPr>
        <w:pStyle w:val="ListParagraph"/>
        <w:numPr>
          <w:ilvl w:val="0"/>
          <w:numId w:val="1"/>
        </w:numPr>
        <w:spacing w:after="100"/>
      </w:pPr>
      <w:r>
        <w:rPr>
          <w:sz w:val="21"/>
          <w:szCs w:val="21"/>
        </w:rPr>
        <w:t xml:space="preserve">P18 : tentation de reformuler les questions pour obtenir des catégories que la participante refusait. Je ne l'ai pas fait, et ce refus est devenu une donnée.</w:t>
      </w:r>
    </w:p>
    <w:p>
      <w:pPr>
        <w:pStyle w:val="ListParagraph"/>
        <w:numPr>
          <w:ilvl w:val="0"/>
          <w:numId w:val="1"/>
        </w:numPr>
        <w:spacing w:after="100"/>
      </w:pPr>
      <w:r>
        <w:rPr>
          <w:sz w:val="21"/>
          <w:szCs w:val="21"/>
        </w:rPr>
        <w:t xml:space="preserve">P19 : la participante a abordé d'elle-même la tenue du registre, que l'observation de la veille m'avait montrée et dont je n'avais rien dit.</w:t>
      </w:r>
    </w:p>
    <w:p>
      <w:pPr>
        <w:spacing w:after="100"/>
      </w:pPr>
      <w:r>
        <w:rPr>
          <w:sz w:val="21"/>
          <w:szCs w:val="21"/>
        </w:rPr>
        <w:t xml:space="preserve">Ce qui m'a surpris. Mon premier présupposé ne s'est pas vérifié : dans presque tous les centres, le glucomètre existe — mais au laboratoire ou à la consultation des maladies chroniques, jamais en salle de CPN ; ce qui manque à la femme enceinte, c'est l'accès à cet appareil, un espace où dire un résultat sans qu'il soit entendu, et du temps pour l'expliquer. Mon expérience de la biologie médicale a sans doute joué ici : c'est en demandant où se trouvait le glucomètre, et pour qui servaient ses bandelettes, que ce circuit hors de la CPN est apparu (code B8). Le risque inverse existe aussi : surinterpréter ce qui relève du laboratoire, parce que c'est le monde que je connais. L'analyse a ensuite fait apparaître des thèmes que je n'attendais pas : le dispositif de contrôle oriente l'attention (T4 — Ce qui est compté existe), le registre peut masquer l'inégalité (T6 — Le registre comme écran), et le dépistage se prolonge hors du centre par les relais communautaires (T7 — Le dépistage hors des murs). Ces thèmes viennent du matériau, pas de ma grille : c'est un indice que les codes inductifs ont joué leur rôle.</w:t>
      </w:r>
    </w:p>
    <w:p>
      <w:pPr>
        <w:spacing w:after="100"/>
      </w:pPr>
      <w:r>
        <w:rPr>
          <w:sz w:val="21"/>
          <w:szCs w:val="21"/>
        </w:rPr>
        <w:t xml:space="preserve">Ce que je n'ai peut-être pas voulu entendre. Ma formation en santé publique me porte vers les explications systémiques (dotation, supervision, indicateurs). Les thèmes de ce type pourraient être surreprésentés dans mes résultats au détriment de ce qui relève du jugement clinique individuel. J'en ferai un point explicite de la discussion avec ma directrice et de la vérification des interprétations.</w:t>
      </w:r>
    </w:p>
    <w:p>
      <w:pPr>
        <w:spacing w:after="100"/>
      </w:pPr>
      <w:r>
        <w:rPr>
          <w:sz w:val="21"/>
          <w:szCs w:val="21"/>
        </w:rPr>
        <w:t xml:space="preserve">Ce que je ferai autrement lors de la collecte réelle :</w:t>
      </w:r>
    </w:p>
    <w:p>
      <w:pPr>
        <w:pStyle w:val="ListParagraph"/>
        <w:numPr>
          <w:ilvl w:val="0"/>
          <w:numId w:val="1"/>
        </w:numPr>
        <w:spacing w:after="100"/>
      </w:pPr>
      <w:r>
        <w:rPr>
          <w:sz w:val="21"/>
          <w:szCs w:val="21"/>
        </w:rPr>
        <w:t xml:space="preserve">noter, dès l'introduction, que l'étude n'est pas une évaluation du centre et que rien ne sera transmis nominativement au district ;</w:t>
      </w:r>
    </w:p>
    <w:p>
      <w:pPr>
        <w:pStyle w:val="ListParagraph"/>
        <w:numPr>
          <w:ilvl w:val="0"/>
          <w:numId w:val="1"/>
        </w:numPr>
        <w:spacing w:after="100"/>
      </w:pPr>
      <w:r>
        <w:rPr>
          <w:sz w:val="21"/>
          <w:szCs w:val="21"/>
        </w:rPr>
        <w:t xml:space="preserve">préparer des relances neutres sur le conjoint et l'entourage ;</w:t>
      </w:r>
    </w:p>
    <w:p>
      <w:pPr>
        <w:pStyle w:val="ListParagraph"/>
        <w:numPr>
          <w:ilvl w:val="0"/>
          <w:numId w:val="1"/>
        </w:numPr>
        <w:spacing w:after="100"/>
      </w:pPr>
      <w:r>
        <w:rPr>
          <w:sz w:val="21"/>
          <w:szCs w:val="21"/>
        </w:rPr>
        <w:t xml:space="preserve">m'interdire de commenter, même par une réaction, une pratique décrite ;</w:t>
      </w:r>
    </w:p>
    <w:p>
      <w:pPr>
        <w:pStyle w:val="ListParagraph"/>
        <w:numPr>
          <w:ilvl w:val="0"/>
          <w:numId w:val="1"/>
        </w:numPr>
        <w:spacing w:after="100"/>
      </w:pPr>
      <w:r>
        <w:rPr>
          <w:sz w:val="21"/>
          <w:szCs w:val="21"/>
        </w:rPr>
        <w:t xml:space="preserve">pendant les observations, me placer d'emblée hors de l'espace de soin quand la salle est unique.</w:t>
      </w:r>
    </w:p>
    <w:p>
      <w:pPr>
        <w:pStyle w:val="Heading1"/>
        <w:spacing w:after="160" w:before="280"/>
      </w:pPr>
      <w:r>
        <w:t xml:space="preserve">POUR LA NOTE RÉELLE</w:t>
      </w:r>
    </w:p>
    <w:p>
      <w:pPr>
        <w:pStyle w:val="ListParagraph"/>
        <w:numPr>
          <w:ilvl w:val="0"/>
          <w:numId w:val="1"/>
        </w:numPr>
        <w:spacing w:after="100"/>
      </w:pPr>
      <w:r>
        <w:rPr>
          <w:sz w:val="21"/>
          <w:szCs w:val="21"/>
        </w:rPr>
        <w:t xml:space="preserve">Remplacez chaque passage entre crochets par votre situation réelle.</w:t>
      </w:r>
    </w:p>
    <w:p>
      <w:pPr>
        <w:pStyle w:val="ListParagraph"/>
        <w:numPr>
          <w:ilvl w:val="0"/>
          <w:numId w:val="1"/>
        </w:numPr>
        <w:spacing w:after="100"/>
      </w:pPr>
      <w:r>
        <w:rPr>
          <w:sz w:val="21"/>
          <w:szCs w:val="21"/>
        </w:rPr>
        <w:t xml:space="preserve">Rédigez les parties 1 à 4 AVANT de coder le premier entretien réel ; datez-les, et ne les corrigez plus ensuite : complétez-les.</w:t>
      </w:r>
    </w:p>
    <w:p>
      <w:pPr>
        <w:pStyle w:val="ListParagraph"/>
        <w:numPr>
          <w:ilvl w:val="0"/>
          <w:numId w:val="1"/>
        </w:numPr>
        <w:spacing w:after="100"/>
      </w:pPr>
      <w:r>
        <w:rPr>
          <w:sz w:val="21"/>
          <w:szCs w:val="21"/>
        </w:rPr>
        <w:t xml:space="preserve">Rédigez la partie 5 à partir de VOTRE journal réel. Les exemples ci-dessus viennent des journaux simulés et ne doivent pas être repris.</w:t>
      </w:r>
    </w:p>
    <w:p>
      <w:pPr>
        <w:pStyle w:val="ListParagraph"/>
        <w:numPr>
          <w:ilvl w:val="0"/>
          <w:numId w:val="1"/>
        </w:numPr>
        <w:spacing w:after="100"/>
      </w:pPr>
      <w:r>
        <w:rPr>
          <w:sz w:val="21"/>
          <w:szCs w:val="21"/>
        </w:rPr>
        <w:t xml:space="preserve">Dans le mémoire, un paragraphe de méthode suffit (« Position du chercheur ») ; la note complète reste dans la piste d'audit.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b/>
      <w:bCs/>
      <w:color w:val="17334F"/>
      <w:sz w:val="30"/>
      <w:szCs w:val="30"/>
    </w:rPr>
  </w:style>
  <w:style w:type="paragraph" w:styleId="Heading2">
    <w:name w:val="Heading 2"/>
    <w:basedOn w:val="Normal"/>
    <w:next w:val="Normal"/>
    <w:qFormat/>
    <w:pPr>
      <w:spacing w:after="120" w:before="260"/>
    </w:pPr>
    <w:rPr>
      <w:b/>
      <w:bCs/>
      <w:color w:val="26567D"/>
      <w:sz w:val="25"/>
      <w:szCs w:val="25"/>
    </w:rPr>
  </w:style>
  <w:style w:type="paragraph" w:styleId="Heading3">
    <w:name w:val="Heading 3"/>
    <w:basedOn w:val="Normal"/>
    <w:next w:val="Normal"/>
    <w:qFormat/>
    <w:pPr>
      <w:spacing w:after="100" w:before="200"/>
    </w:pPr>
    <w:rPr>
      <w:b/>
      <w:bCs/>
      <w:color w:val="2E6DA4"/>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2026-10-02T10:14:45.399Z</dcterms:created>
  <dcterms:modified xsi:type="dcterms:W3CDTF">2026-10-02T10:14:45.399Z</dcterms:modified>
</cp:coreProperties>
</file>

<file path=docProps/custom.xml><?xml version="1.0" encoding="utf-8"?>
<Properties xmlns="http://schemas.openxmlformats.org/officeDocument/2006/custom-properties" xmlns:vt="http://schemas.openxmlformats.org/officeDocument/2006/docPropsVTypes"/>
</file>