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b/>
          <w:bCs/>
          <w:sz w:val="22"/>
          <w:szCs w:val="22"/>
        </w:rPr>
        <w:t xml:space="preserve">UNIVERSITÉ DE PARAKOU — ENATSE</w:t>
      </w:r>
    </w:p>
    <w:p>
      <w:pPr>
        <w:spacing w:after="300"/>
        <w:jc w:val="center"/>
      </w:pPr>
      <w:r>
        <w:rPr>
          <w:sz w:val="20"/>
          <w:szCs w:val="20"/>
        </w:rPr>
        <w:t xml:space="preserve">Master en Santé publique — Promotion de la santé</w:t>
      </w:r>
    </w:p>
    <w:p>
      <w:pPr>
        <w:spacing w:after="240"/>
        <w:jc w:val="center"/>
      </w:pPr>
      <w:r>
        <w:rPr>
          <w:i/>
          <w:iCs/>
          <w:sz w:val="22"/>
          <w:szCs w:val="22"/>
        </w:rPr>
        <w:t xml:space="preserve">L'équité d'accès au dépistage capacitant de l'hypertension artérielle et du diabète en consultation prénatale : perceptions et pratiques déclarées des infirmiers et sages-femmes de Ngoma (Rwanda)</w:t>
      </w:r>
    </w:p>
    <w:p>
      <w:pPr>
        <w:spacing w:after="200" w:before="200"/>
        <w:jc w:val="center"/>
      </w:pPr>
      <w:r>
        <w:rPr>
          <w:b/>
          <w:bCs/>
          <w:sz w:val="32"/>
          <w:szCs w:val="32"/>
        </w:rPr>
        <w:t xml:space="preserve">Chapitre 6 — Discussion (rédaction d'exercice)</w:t>
      </w:r>
    </w:p>
    <w:p/>
    <w:tbl>
      <w:tblPr>
        <w:tblW w:type="dxa" w:w="9026"/>
        <w:tblBorders>
          <w:top w:val="single" w:color="C0392B" w:sz="12"/>
          <w:left w:val="single" w:color="C0392B" w:sz="12"/>
          <w:bottom w:val="single" w:color="C0392B" w:sz="12"/>
          <w:right w:val="single" w:color="C0392B" w:sz="12"/>
          <w:insideH w:val="single" w:color="auto" w:sz="4"/>
          <w:insideV w:val="single" w:color="auto" w:sz="4"/>
        </w:tblBorders>
      </w:tblPr>
      <w:tblGrid>
        <w:gridCol w:w="9026"/>
      </w:tblGrid>
      <w:tr>
        <w:tc>
          <w:tcPr>
            <w:tcW w:type="dxa" w:w="9026"/>
            <w:shd w:fill="FDEDEC" w:color="auto" w:val="clear"/>
            <w:tcMar>
              <w:top w:type="dxa" w:w="140"/>
              <w:left w:type="dxa" w:w="160"/>
              <w:bottom w:type="dxa" w:w="140"/>
              <w:right w:type="dxa" w:w="160"/>
            </w:tcMar>
          </w:tcPr>
          <w:p>
            <w:r>
              <w:rPr>
                <w:b/>
                <w:bCs/>
                <w:color w:val="C0392B"/>
                <w:sz w:val="22"/>
                <w:szCs w:val="22"/>
              </w:rPr>
              <w:t xml:space="preserve">⚠ DONNÉES ENTIÈREMENT SIMULÉES — EXERCICE DE FORMATION</w:t>
            </w:r>
          </w:p>
          <w:p>
            <w:r>
              <w:rPr>
                <w:sz w:val="19"/>
                <w:szCs w:val="19"/>
              </w:rPr>
              <w:t xml:space="preserve">Aucun entretien n'a été conduit. Aucun centre de santé n'a été visité. Aucune des personnes décrites n'existe. Ce document sert exclusivement à apprendre à manipuler l'outil d'analyse avant la collecte réelle.</w:t>
            </w:r>
          </w:p>
          <w:p>
            <w:r>
              <w:rPr>
                <w:b/>
                <w:bCs/>
                <w:sz w:val="19"/>
                <w:szCs w:val="19"/>
              </w:rPr>
              <w:t xml:space="preserve">Il ne peut être cité, ni figurer dans le mémoire, ni servir de résultat, ni être présenté à un comité d'éthique ou à un jury comme une donnée de terrain.</w:t>
            </w:r>
          </w:p>
        </w:tc>
      </w:tr>
    </w:tbl>
    <w:p/>
    <w:p>
      <w:pPr>
        <w:spacing w:after="80"/>
        <w:rPr>
          <w:sz w:val="20"/>
          <w:szCs w:val="20"/>
        </w:rPr>
      </w:pPr>
      <w:r>
        <w:rPr>
          <w:sz w:val="20"/>
          <w:szCs w:val="20"/>
        </w:rPr>
        <w:t xml:space="preserve">Rédaction d'exercice du chapitre Discussion, à partir des résultats du chapitre 5 et du protocole corrigé.</w:t>
      </w:r>
    </w:p>
    <w:p>
      <w:pPr>
        <w:spacing w:after="80"/>
        <w:rPr>
          <w:sz w:val="20"/>
          <w:szCs w:val="20"/>
        </w:rPr>
      </w:pPr>
      <w:r>
        <w:rPr>
          <w:sz w:val="20"/>
          <w:szCs w:val="20"/>
        </w:rPr>
        <w:t xml:space="preserve"/>
      </w:r>
    </w:p>
    <w:p>
      <w:pPr>
        <w:spacing w:after="80"/>
        <w:rPr>
          <w:sz w:val="20"/>
          <w:szCs w:val="20"/>
        </w:rPr>
      </w:pPr>
      <w:r>
        <w:rPr>
          <w:sz w:val="20"/>
          <w:szCs w:val="20"/>
        </w:rPr>
        <w:t xml:space="preserve">Les numéros 1 à 71 renvoient à la bibliographie du protocole. Les références ajoutées pendant la rédaction sont numérotées à la suite et listées en fin de chapitre : chacune doit être vérifiée dans sa source avant le dépôt.</w:t>
      </w:r>
    </w:p>
    <w:p>
      <w:pPr>
        <w:spacing w:after="80"/>
        <w:rPr>
          <w:sz w:val="20"/>
          <w:szCs w:val="20"/>
        </w:rPr>
      </w:pPr>
      <w:r>
        <w:rPr>
          <w:sz w:val="20"/>
          <w:szCs w:val="20"/>
        </w:rPr>
        <w:t xml:space="preserve"/>
      </w:r>
    </w:p>
    <w:p>
      <w:pPr>
        <w:spacing w:after="80"/>
        <w:rPr>
          <w:sz w:val="20"/>
          <w:szCs w:val="20"/>
        </w:rPr>
      </w:pPr>
      <w:r>
        <w:rPr>
          <w:sz w:val="20"/>
          <w:szCs w:val="20"/>
        </w:rPr>
        <w:t xml:space="preserve">Ce texte est un MODÈLE de forme. La discussion du mémoire réel portera sur les résultats réels et ne reprendra rien de celle-ci.</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val="off"/>
        </w:trPr>
        <w:tc>
          <w:tcPr>
            <w:tcW w:type="dxa" w:w="2400"/>
            <w:tcMar>
              <w:top w:type="dxa" w:w="60"/>
              <w:left w:type="dxa" w:w="100"/>
              <w:bottom w:type="dxa" w:w="60"/>
              <w:right w:type="dxa" w:w="100"/>
            </w:tcMar>
          </w:tcPr>
          <w:p>
            <w:r>
              <w:rPr>
                <w:b w:val="false"/>
                <w:bCs w:val="false"/>
                <w:i w:val="false"/>
                <w:iCs w:val="false"/>
                <w:sz w:val="19"/>
                <w:szCs w:val="19"/>
              </w:rPr>
              <w:t xml:space="preserve">Chercheur</w:t>
            </w:r>
          </w:p>
        </w:tc>
        <w:tc>
          <w:tcPr>
            <w:tcW w:type="dxa" w:w="6626"/>
            <w:tcMar>
              <w:top w:type="dxa" w:w="60"/>
              <w:left w:type="dxa" w:w="100"/>
              <w:bottom w:type="dxa" w:w="60"/>
              <w:right w:type="dxa" w:w="100"/>
            </w:tcMar>
          </w:tcPr>
          <w:p>
            <w:r>
              <w:rPr>
                <w:b w:val="false"/>
                <w:bCs w:val="false"/>
                <w:i w:val="false"/>
                <w:iCs w:val="false"/>
                <w:sz w:val="19"/>
                <w:szCs w:val="19"/>
              </w:rPr>
              <w:t xml:space="preserve">MUKAKI DUNIA Jacques</w:t>
            </w:r>
          </w:p>
        </w:tc>
      </w:tr>
      <w:tr>
        <w:trPr>
          <w:tblHeader w:val="off"/>
        </w:trPr>
        <w:tc>
          <w:tcPr>
            <w:tcW w:type="dxa" w:w="2400"/>
            <w:tcMar>
              <w:top w:type="dxa" w:w="60"/>
              <w:left w:type="dxa" w:w="100"/>
              <w:bottom w:type="dxa" w:w="60"/>
              <w:right w:type="dxa" w:w="100"/>
            </w:tcMar>
          </w:tcPr>
          <w:p>
            <w:r>
              <w:rPr>
                <w:b w:val="false"/>
                <w:bCs w:val="false"/>
                <w:i w:val="false"/>
                <w:iCs w:val="false"/>
                <w:sz w:val="19"/>
                <w:szCs w:val="19"/>
              </w:rPr>
              <w:t xml:space="preserve">Institution</w:t>
            </w:r>
          </w:p>
        </w:tc>
        <w:tc>
          <w:tcPr>
            <w:tcW w:type="dxa" w:w="6626"/>
            <w:tcMar>
              <w:top w:type="dxa" w:w="60"/>
              <w:left w:type="dxa" w:w="100"/>
              <w:bottom w:type="dxa" w:w="60"/>
              <w:right w:type="dxa" w:w="100"/>
            </w:tcMar>
          </w:tcPr>
          <w:p>
            <w:r>
              <w:rPr>
                <w:b w:val="false"/>
                <w:bCs w:val="false"/>
                <w:i w:val="false"/>
                <w:iCs w:val="false"/>
                <w:sz w:val="19"/>
                <w:szCs w:val="19"/>
              </w:rPr>
              <w:t xml:space="preserve">ENATSE, Université de Parakou (Bénin) — Master en Santé publique, Promotion de la santé</w:t>
            </w:r>
          </w:p>
        </w:tc>
      </w:tr>
      <w:tr>
        <w:trPr>
          <w:tblHeader w:val="off"/>
        </w:trPr>
        <w:tc>
          <w:tcPr>
            <w:tcW w:type="dxa" w:w="2400"/>
            <w:tcMar>
              <w:top w:type="dxa" w:w="60"/>
              <w:left w:type="dxa" w:w="100"/>
              <w:bottom w:type="dxa" w:w="60"/>
              <w:right w:type="dxa" w:w="100"/>
            </w:tcMar>
          </w:tcPr>
          <w:p>
            <w:r>
              <w:rPr>
                <w:b w:val="false"/>
                <w:bCs w:val="false"/>
                <w:i w:val="false"/>
                <w:iCs w:val="false"/>
                <w:sz w:val="19"/>
                <w:szCs w:val="19"/>
              </w:rPr>
              <w:t xml:space="preserve">Direction</w:t>
            </w:r>
          </w:p>
        </w:tc>
        <w:tc>
          <w:tcPr>
            <w:tcW w:type="dxa" w:w="6626"/>
            <w:tcMar>
              <w:top w:type="dxa" w:w="60"/>
              <w:left w:type="dxa" w:w="100"/>
              <w:bottom w:type="dxa" w:w="60"/>
              <w:right w:type="dxa" w:w="100"/>
            </w:tcMar>
          </w:tcPr>
          <w:p>
            <w:r>
              <w:rPr>
                <w:b w:val="false"/>
                <w:bCs w:val="false"/>
                <w:i w:val="false"/>
                <w:iCs w:val="false"/>
                <w:sz w:val="19"/>
                <w:szCs w:val="19"/>
              </w:rPr>
              <w:t xml:space="preserve">Professeure N. Fanny M. HOUNKPONOU AHOUINGNAN</w:t>
            </w:r>
          </w:p>
        </w:tc>
      </w:tr>
      <w:tr>
        <w:trPr>
          <w:tblHeader w:val="off"/>
        </w:trPr>
        <w:tc>
          <w:tcPr>
            <w:tcW w:type="dxa" w:w="2400"/>
            <w:tcMar>
              <w:top w:type="dxa" w:w="60"/>
              <w:left w:type="dxa" w:w="100"/>
              <w:bottom w:type="dxa" w:w="60"/>
              <w:right w:type="dxa" w:w="100"/>
            </w:tcMar>
          </w:tcPr>
          <w:p>
            <w:r>
              <w:rPr>
                <w:b w:val="false"/>
                <w:bCs w:val="false"/>
                <w:i w:val="false"/>
                <w:iCs w:val="false"/>
                <w:sz w:val="19"/>
                <w:szCs w:val="19"/>
              </w:rPr>
              <w:t xml:space="preserve">Période simulée</w:t>
            </w:r>
          </w:p>
        </w:tc>
        <w:tc>
          <w:tcPr>
            <w:tcW w:type="dxa" w:w="6626"/>
            <w:tcMar>
              <w:top w:type="dxa" w:w="60"/>
              <w:left w:type="dxa" w:w="100"/>
              <w:bottom w:type="dxa" w:w="60"/>
              <w:right w:type="dxa" w:w="100"/>
            </w:tcMar>
          </w:tcPr>
          <w:p>
            <w:r>
              <w:rPr>
                <w:b w:val="false"/>
                <w:bCs w:val="false"/>
                <w:i w:val="false"/>
                <w:iCs w:val="false"/>
                <w:sz w:val="19"/>
                <w:szCs w:val="19"/>
              </w:rPr>
              <w:t xml:space="preserve">11 août – 30 septembre 2026 (période prévue au protocole, § 4.2.5.3)</w:t>
            </w:r>
          </w:p>
        </w:tc>
      </w:tr>
      <w:tr>
        <w:trPr>
          <w:tblHeader w:val="off"/>
        </w:trPr>
        <w:tc>
          <w:tcPr>
            <w:tcW w:type="dxa" w:w="2400"/>
            <w:tcMar>
              <w:top w:type="dxa" w:w="60"/>
              <w:left w:type="dxa" w:w="100"/>
              <w:bottom w:type="dxa" w:w="60"/>
              <w:right w:type="dxa" w:w="100"/>
            </w:tcMar>
          </w:tcPr>
          <w:p>
            <w:r>
              <w:rPr>
                <w:b w:val="false"/>
                <w:bCs w:val="false"/>
                <w:i w:val="false"/>
                <w:iCs w:val="false"/>
                <w:sz w:val="19"/>
                <w:szCs w:val="19"/>
              </w:rPr>
              <w:t xml:space="preserve">Échantillon simulé</w:t>
            </w:r>
          </w:p>
        </w:tc>
        <w:tc>
          <w:tcPr>
            <w:tcW w:type="dxa" w:w="6626"/>
            <w:tcMar>
              <w:top w:type="dxa" w:w="60"/>
              <w:left w:type="dxa" w:w="100"/>
              <w:bottom w:type="dxa" w:w="60"/>
              <w:right w:type="dxa" w:w="100"/>
            </w:tcMar>
          </w:tcPr>
          <w:p>
            <w:r>
              <w:rPr>
                <w:b w:val="false"/>
                <w:bCs w:val="false"/>
                <w:i w:val="false"/>
                <w:iCs w:val="false"/>
                <w:sz w:val="19"/>
                <w:szCs w:val="19"/>
              </w:rPr>
              <w:t xml:space="preserve">10 infirmiers ou infirmières et 10 sages-femmes, 15 centres de santé, en deux vagues</w:t>
            </w:r>
          </w:p>
        </w:tc>
      </w:tr>
    </w:tbl>
    <w:p>
      <w:r>
        <w:br w:type="page"/>
      </w:r>
    </w:p>
    <w:p>
      <w:pPr>
        <w:pStyle w:val="Heading1"/>
        <w:spacing w:after="160" w:before="280"/>
      </w:pPr>
      <w:r>
        <w:t xml:space="preserve">6. DISCUSSION</w:t>
      </w:r>
    </w:p>
    <w:p>
      <w:pPr>
        <w:spacing w:after="140"/>
        <w:jc w:val="both"/>
      </w:pPr>
      <w:r>
        <w:rPr>
          <w:i w:val="false"/>
          <w:iCs w:val="false"/>
          <w:sz w:val="22"/>
          <w:szCs w:val="22"/>
        </w:rPr>
        <w:t xml:space="preserve">Ce chapitre discute les résultats au regard des objectifs de l'étude, de la revue de littérature et du cadre conceptuel. Il rappelle d'abord les principaux résultats, les confronte ensuite à la littérature thème par thème, revient sur le cadre conceptuel, examine les forces et les limites de l'étude, et en tire des implications pour la pratique et la recherche.</w:t>
      </w:r>
    </w:p>
    <w:p>
      <w:pPr>
        <w:pStyle w:val="Heading2"/>
        <w:spacing w:after="120" w:before="220"/>
      </w:pPr>
      <w:r>
        <w:t xml:space="preserve">6.1. Rappel des principaux résultats</w:t>
      </w:r>
    </w:p>
    <w:p>
      <w:pPr>
        <w:spacing w:after="140"/>
        <w:jc w:val="both"/>
      </w:pPr>
      <w:r>
        <w:rPr>
          <w:i w:val="false"/>
          <w:iCs w:val="false"/>
          <w:sz w:val="22"/>
          <w:szCs w:val="22"/>
        </w:rPr>
        <w:t xml:space="preserve">L'étude visait à analyser les perceptions et les pratiques déclarées des infirmiers et sages-femmes à l'égard du dépistage de l'hypertension et du diabète en consultation prénatale, ainsi que la portée qu'ils reconnaissent en matière d'équité. Trois résultats dominent. Premièrement, le dépistage est « coupé en deux » : la mesure de la tension est un geste intégré à la CPN, tandis que la glycémie se fait ailleurs. Un glucomètre existait dans 14 centres sur 15, mais aucun en salle de CPN : il se trouvait au laboratoire ou à la consultation des maladies chroniques, et la glycémie d'une femme enceinte n'était réalisable, sur bon de la CPN, que dans 5 centres, pour les seules femmes présentant un signe d'appel, et à leurs frais, le test ne figurant pas dans le paquet de soins de la CPN. Deuxièmement, la part informative du dépistage, celle qui fonde la capacité de la femme à agir, est modulée selon l'heure, la charge et l'idée que le soignant se fait de la femme, à l'inverse des besoins ; 17 participants le décrivent eux-mêmes. Troisièmement, les conditions qui limitent le dépistage relèvent surtout du système : rattachement de la glycémie à un autre programme, indicateurs, approvisionnement, référence sans retour d'information, rupture à l'accouchement ; mais une majorité de participants reconnaissent aussi une part qui leur revient.</w:t>
      </w:r>
    </w:p>
    <w:p>
      <w:pPr>
        <w:pStyle w:val="Heading2"/>
        <w:spacing w:after="120" w:before="220"/>
      </w:pPr>
      <w:r>
        <w:t xml:space="preserve">6.2. Discussion des résultats</w:t>
      </w:r>
    </w:p>
    <w:p>
      <w:pPr>
        <w:pStyle w:val="Heading3"/>
        <w:spacing w:after="100" w:before="180"/>
      </w:pPr>
      <w:r>
        <w:t xml:space="preserve">6.2.1. Deux programmes dans le même centre : la glycémie hors de la CPN</w:t>
      </w:r>
    </w:p>
    <w:p>
      <w:pPr>
        <w:spacing w:after="140"/>
        <w:jc w:val="both"/>
      </w:pPr>
      <w:r>
        <w:rPr>
          <w:i w:val="false"/>
          <w:iCs w:val="false"/>
          <w:sz w:val="22"/>
          <w:szCs w:val="22"/>
        </w:rPr>
        <w:t xml:space="preserve">Les recommandations internationales désignent la consultation prénatale comme le lieu d'une mesure systématique de la pression artérielle et d'un dépistage du diabète orienté par les facteurs de risque</w:t>
      </w:r>
      <w:r>
        <w:rPr>
          <w:sz w:val="22"/>
          <w:szCs w:val="22"/>
        </w:rPr>
        <w:t xml:space="preserve"> [11]</w:t>
      </w:r>
      <w:r>
        <w:rPr>
          <w:i w:val="false"/>
          <w:iCs w:val="false"/>
          <w:sz w:val="22"/>
          <w:szCs w:val="22"/>
        </w:rPr>
        <w:t xml:space="preserve">, et la Déclaration de Jakarta fait des milieux de vie, dont la CPN relève, le cadre privilégié de l'action promotionnelle</w:t>
      </w:r>
      <w:r>
        <w:rPr>
          <w:sz w:val="22"/>
          <w:szCs w:val="22"/>
        </w:rPr>
        <w:t xml:space="preserve"> [12]</w:t>
      </w:r>
      <w:r>
        <w:rPr>
          <w:i w:val="false"/>
          <w:iCs w:val="false"/>
          <w:sz w:val="22"/>
          <w:szCs w:val="22"/>
        </w:rPr>
        <w:t xml:space="preserve">. Les participants partagent cette lecture sans réserve : tous reconnaissent le dépistage comme relevant du mandat de la CPN. Nos résultats montrent pourtant que la moitié de ce dépistage ne lui appartient pas matériellement. Dans aucun des centres observés le glucomètre ne se trouvait en salle de CPN ; il était au laboratoire du centre, ou rangé à la consultation des maladies chroniques, et ses bandelettes étaient gérées, parfois réservées, par ces services.</w:t>
      </w:r>
    </w:p>
    <w:p>
      <w:pPr>
        <w:spacing w:after="140"/>
        <w:jc w:val="both"/>
      </w:pPr>
      <w:r>
        <w:rPr>
          <w:i w:val="false"/>
          <w:iCs w:val="false"/>
          <w:sz w:val="22"/>
          <w:szCs w:val="22"/>
        </w:rPr>
        <w:t xml:space="preserve">Cette organisation n'est pas un accident local. La décentralisation des soins chroniques vers les hôpitaux de district s'est prolongée par le mentorat d'infirmiers de centres de santé, qui assurent désormais le suivi de l'hypertension non sévère et du diabète de type 2</w:t>
      </w:r>
      <w:r>
        <w:rPr>
          <w:sz w:val="22"/>
          <w:szCs w:val="22"/>
        </w:rPr>
        <w:t xml:space="preserve"> [72]</w:t>
      </w:r>
      <w:r>
        <w:rPr>
          <w:i w:val="false"/>
          <w:iCs w:val="false"/>
          <w:sz w:val="22"/>
          <w:szCs w:val="22"/>
        </w:rPr>
        <w:t xml:space="preserve">, dans la logique du paquet d'interventions essentielles de l'OMS</w:t>
      </w:r>
      <w:r>
        <w:rPr>
          <w:sz w:val="22"/>
          <w:szCs w:val="22"/>
        </w:rPr>
        <w:t xml:space="preserve"> [14]</w:t>
      </w:r>
      <w:r>
        <w:rPr>
          <w:i w:val="false"/>
          <w:iCs w:val="false"/>
          <w:sz w:val="22"/>
          <w:szCs w:val="22"/>
        </w:rPr>
        <w:t xml:space="preserve">. Le glucomètre a suivi ce programme : il est l'outil de la consultation des maladies chroniques, non celui de la consultation prénatale. Deux programmes coexistent ainsi dans le même bâtiment sans articulation formelle, ce que la revue avait identifié comme l'absence de dispositif portant la jonction entre santé maternelle et maladies chroniques</w:t>
      </w:r>
      <w:r>
        <w:rPr>
          <w:sz w:val="22"/>
          <w:szCs w:val="22"/>
        </w:rPr>
        <w:t xml:space="preserve"> [63,64]</w:t>
      </w:r>
      <w:r>
        <w:rPr>
          <w:i w:val="false"/>
          <w:iCs w:val="false"/>
          <w:sz w:val="22"/>
          <w:szCs w:val="22"/>
        </w:rPr>
        <w:t xml:space="preserve">. Nos résultats en montrent la traduction concrète : un bon à remplir, une file d'attente supplémentaire, des bandelettes réservées aux patients déjà diagnostiqués. Ils donnent un contenu matériel au déficit de mise en œuvre que l'Appel à l'action de Nairobi plaçait au centre de ses recommandations</w:t>
      </w:r>
      <w:r>
        <w:rPr>
          <w:sz w:val="22"/>
          <w:szCs w:val="22"/>
        </w:rPr>
        <w:t xml:space="preserve"> [22]</w:t>
      </w:r>
      <w:r>
        <w:rPr>
          <w:i w:val="false"/>
          <w:iCs w:val="false"/>
          <w:sz w:val="22"/>
          <w:szCs w:val="22"/>
        </w:rPr>
        <w:t xml:space="preserve">.</w:t>
      </w:r>
    </w:p>
    <w:p>
      <w:pPr>
        <w:spacing w:after="140"/>
        <w:jc w:val="both"/>
      </w:pPr>
      <w:r>
        <w:rPr>
          <w:i w:val="false"/>
          <w:iCs w:val="false"/>
          <w:sz w:val="22"/>
          <w:szCs w:val="22"/>
        </w:rPr>
        <w:t xml:space="preserve">Les données nationales concordent avec ce constat. Le dépistage du diabète gestationnel n'est pas systématique au Rwanda ; le protocole national de 2012 prévoit une glycémie capillaire à jeun et une épreuve de charge entre 24 et 28 semaines, et la seule estimation disponible en centre de santé public, 3,2 %, a été obtenue par une épreuve d'hyperglycémie provoquée réalisée pour la recherche</w:t>
      </w:r>
      <w:r>
        <w:rPr>
          <w:sz w:val="22"/>
          <w:szCs w:val="22"/>
        </w:rPr>
        <w:t xml:space="preserve"> [27]</w:t>
      </w:r>
      <w:r>
        <w:rPr>
          <w:i w:val="false"/>
          <w:iCs w:val="false"/>
          <w:sz w:val="22"/>
          <w:szCs w:val="22"/>
        </w:rPr>
        <w:t xml:space="preserve">. À l'échelle de la population, l'enquête STEPS de 2022 rapporte que 87,0 % des femmes n'avaient jamais eu de mesure de la glycémie, contre 38 % qui n'avaient jamais eu de mesure de la tension</w:t>
      </w:r>
      <w:r>
        <w:rPr>
          <w:sz w:val="22"/>
          <w:szCs w:val="22"/>
        </w:rPr>
        <w:t xml:space="preserve"> [16]</w:t>
      </w:r>
      <w:r>
        <w:rPr>
          <w:i w:val="false"/>
          <w:iCs w:val="false"/>
          <w:sz w:val="22"/>
          <w:szCs w:val="22"/>
        </w:rPr>
        <w:t xml:space="preserve">. L'asymétrie que les participants décrivent au sein de la CPN se retrouve ainsi à l'échelle du pays.</w:t>
      </w:r>
    </w:p>
    <w:p>
      <w:pPr>
        <w:spacing w:after="140"/>
        <w:jc w:val="both"/>
      </w:pPr>
      <w:r>
        <w:rPr>
          <w:i w:val="false"/>
          <w:iCs w:val="false"/>
          <w:sz w:val="22"/>
          <w:szCs w:val="22"/>
        </w:rPr>
        <w:t xml:space="preserve">Là où le circuit est ouvert, le dépistage glycémique reste doublement sélectif. Il l'est d'abord sur des signes : le bon n'est rédigé que pour les femmes qui présentent un signe d'appel ou un facteur de risque, ce qui correspond à l'orientation par les facteurs de risque recommandée</w:t>
      </w:r>
      <w:r>
        <w:rPr>
          <w:sz w:val="22"/>
          <w:szCs w:val="22"/>
        </w:rPr>
        <w:t xml:space="preserve"> [11]</w:t>
      </w:r>
      <w:r>
        <w:rPr>
          <w:i w:val="false"/>
          <w:iCs w:val="false"/>
          <w:sz w:val="22"/>
          <w:szCs w:val="22"/>
        </w:rPr>
        <w:t xml:space="preserve">, mais laisse la sélection au jugement de chaque prestataire, faute de critères écrits. Il l'est ensuite sur les moyens : le test ne figurant pas dans le paquet de soins de la CPN, la femme le paie au laboratoire. Or la couverture de l'assurance communautaire, qui atteint 85,3 % de la population</w:t>
      </w:r>
      <w:r>
        <w:rPr>
          <w:sz w:val="22"/>
          <w:szCs w:val="22"/>
        </w:rPr>
        <w:t xml:space="preserve"> [59]</w:t>
      </w:r>
      <w:r>
        <w:rPr>
          <w:i w:val="false"/>
          <w:iCs w:val="false"/>
          <w:sz w:val="22"/>
          <w:szCs w:val="22"/>
        </w:rPr>
        <w:t xml:space="preserve">, n'empêche pas le recours de rester concentré parmi les plus aisés, d'autres obstacles subsistant au-delà de la prime</w:t>
      </w:r>
      <w:r>
        <w:rPr>
          <w:sz w:val="22"/>
          <w:szCs w:val="22"/>
        </w:rPr>
        <w:t xml:space="preserve"> [61,62]</w:t>
      </w:r>
      <w:r>
        <w:rPr>
          <w:i w:val="false"/>
          <w:iCs w:val="false"/>
          <w:sz w:val="22"/>
          <w:szCs w:val="22"/>
        </w:rPr>
        <w:t xml:space="preserve">. Un test laissé à la charge de la femme reporte sur elle un coût que les plus pauvres ne peuvent assumer le jour même ; la seconde sélection redouble ainsi la première, et elle porte précisément sur ce que la Charte d'Ottawa demande de corriger en conférant à chacun les moyens de sa santé</w:t>
      </w:r>
      <w:r>
        <w:rPr>
          <w:sz w:val="22"/>
          <w:szCs w:val="22"/>
        </w:rPr>
        <w:t xml:space="preserve"> [23]</w:t>
      </w:r>
      <w:r>
        <w:rPr>
          <w:i w:val="false"/>
          <w:iCs w:val="false"/>
          <w:sz w:val="22"/>
          <w:szCs w:val="22"/>
        </w:rPr>
        <w:t xml:space="preserve">. Le seul centre où une dispense est accordée la doit à une décision de son responsable, sans écrit : une protection qui dépend d'une personne.</w:t>
      </w:r>
    </w:p>
    <w:p>
      <w:pPr>
        <w:spacing w:after="140"/>
        <w:jc w:val="both"/>
      </w:pPr>
      <w:r>
        <w:rPr>
          <w:i w:val="false"/>
          <w:iCs w:val="false"/>
          <w:sz w:val="22"/>
          <w:szCs w:val="22"/>
        </w:rPr>
        <w:t xml:space="preserve">Ces résultats éclairent l'ambiguïté que la revue laissait ouverte : la valeur rwandaise, inférieure aux estimations régionales</w:t>
      </w:r>
      <w:r>
        <w:rPr>
          <w:sz w:val="22"/>
          <w:szCs w:val="22"/>
        </w:rPr>
        <w:t xml:space="preserve"> [27]</w:t>
      </w:r>
      <w:r>
        <w:rPr>
          <w:i w:val="false"/>
          <w:iCs w:val="false"/>
          <w:sz w:val="22"/>
          <w:szCs w:val="22"/>
        </w:rPr>
        <w:t xml:space="preserve">, alors que les prévalences africaines varient fortement selon les critères diagnostiques</w:t>
      </w:r>
      <w:r>
        <w:rPr>
          <w:sz w:val="22"/>
          <w:szCs w:val="22"/>
        </w:rPr>
        <w:t xml:space="preserve"> [6,7,35-37]</w:t>
      </w:r>
      <w:r>
        <w:rPr>
          <w:i w:val="false"/>
          <w:iCs w:val="false"/>
          <w:sz w:val="22"/>
          <w:szCs w:val="22"/>
        </w:rPr>
        <w:t xml:space="preserve">, peut refléter une charge moindre comme une détection incomplète. Si la glycémie n'est accessible à la femme enceinte que dans une minorité de centres, sur des signes d'appel et à ses frais, une partie de l'écart pourrait tenir au dépistage lui-même. L'étude ne permet pas de le mesurer, mais elle invite à ne pas lire ces chiffres comme une donnée épidémiologique pure. Elle montre aussi un effet de second ordre : là où le geste est impossible, il cesse d'être pensé, et la compétence acquise en formation s'érode. Une dotation tardive ne retrouverait donc pas intacte la compétence qu'elle suppose.</w:t>
      </w:r>
    </w:p>
    <w:p>
      <w:pPr>
        <w:pStyle w:val="Heading3"/>
        <w:spacing w:after="100" w:before="180"/>
      </w:pPr>
      <w:r>
        <w:t xml:space="preserve">6.2.2. Le prestataire, opérateur concret de l'équité</w:t>
      </w:r>
    </w:p>
    <w:p>
      <w:pPr>
        <w:spacing w:after="140"/>
        <w:jc w:val="both"/>
      </w:pPr>
      <w:r>
        <w:rPr>
          <w:i w:val="false"/>
          <w:iCs w:val="false"/>
          <w:sz w:val="22"/>
          <w:szCs w:val="22"/>
        </w:rPr>
        <w:t xml:space="preserve">Le résultat le plus original de l'étude concerne la pratique informative. La littérature établit un gradient social du recours et de la qualité du suivi prénatal au Rwanda</w:t>
      </w:r>
      <w:r>
        <w:rPr>
          <w:sz w:val="22"/>
          <w:szCs w:val="22"/>
        </w:rPr>
        <w:t xml:space="preserve"> [52-55]</w:t>
      </w:r>
      <w:r>
        <w:rPr>
          <w:i w:val="false"/>
          <w:iCs w:val="false"/>
          <w:sz w:val="22"/>
          <w:szCs w:val="22"/>
        </w:rPr>
        <w:t xml:space="preserve">, ainsi que des obstacles normatifs documentés du point de vue des femmes</w:t>
      </w:r>
      <w:r>
        <w:rPr>
          <w:sz w:val="22"/>
          <w:szCs w:val="22"/>
        </w:rPr>
        <w:t xml:space="preserve"> [56,57]</w:t>
      </w:r>
      <w:r>
        <w:rPr>
          <w:i w:val="false"/>
          <w:iCs w:val="false"/>
          <w:sz w:val="22"/>
          <w:szCs w:val="22"/>
        </w:rPr>
        <w:t xml:space="preserve"> ; un seul travail avait interrogé des prestataires, sur le retard au premier contact</w:t>
      </w:r>
      <w:r>
        <w:rPr>
          <w:sz w:val="22"/>
          <w:szCs w:val="22"/>
        </w:rPr>
        <w:t xml:space="preserve"> [58]</w:t>
      </w:r>
      <w:r>
        <w:rPr>
          <w:i w:val="false"/>
          <w:iCs w:val="false"/>
          <w:sz w:val="22"/>
          <w:szCs w:val="22"/>
        </w:rPr>
        <w:t xml:space="preserve">. Nos résultats livrent la lecture des prestataires, et cette lecture va au-delà d'un inventaire d'obstacles : elle décrit un mécanisme par lequel le service lui-même reproduit l'inégalité. L'explication la plus complète va aux femmes instruites, arrivées tôt, qui posent des questions ; la plus brève à celles qui n'ont pas d'autre source d'information. Cette distribution rappelle la « loi inverse des soins », selon laquelle la disponibilité de soins de qualité varie en sens inverse des besoins de la population servie</w:t>
      </w:r>
      <w:r>
        <w:rPr>
          <w:sz w:val="22"/>
          <w:szCs w:val="22"/>
        </w:rPr>
        <w:t xml:space="preserve"> [73]</w:t>
      </w:r>
      <w:r>
        <w:rPr>
          <w:i w:val="false"/>
          <w:iCs w:val="false"/>
          <w:sz w:val="22"/>
          <w:szCs w:val="22"/>
        </w:rPr>
        <w:t xml:space="preserve">. Elle s'observe ici à l'échelle la plus fine : quelques minutes d'explication, dans une même salle, le même matin.</w:t>
      </w:r>
    </w:p>
    <w:p>
      <w:pPr>
        <w:spacing w:after="140"/>
        <w:jc w:val="both"/>
      </w:pPr>
      <w:r>
        <w:rPr>
          <w:i w:val="false"/>
          <w:iCs w:val="false"/>
          <w:sz w:val="22"/>
          <w:szCs w:val="22"/>
        </w:rPr>
        <w:t xml:space="preserve">Au regard du cadre, ce résultat touche l'axe « acquérir des aptitudes individuelles » de la Charte d'Ottawa</w:t>
      </w:r>
      <w:r>
        <w:rPr>
          <w:sz w:val="22"/>
          <w:szCs w:val="22"/>
        </w:rPr>
        <w:t xml:space="preserve"> [23]</w:t>
      </w:r>
      <w:r>
        <w:rPr>
          <w:i w:val="false"/>
          <w:iCs w:val="false"/>
          <w:sz w:val="22"/>
          <w:szCs w:val="22"/>
        </w:rPr>
        <w:t xml:space="preserve">. Le dépistage n'est capacitant que si la femme repart en sachant ce que signifie le chiffre et ce qu'elle peut faire. Or la littératie en santé, que Nutbeam décline en niveaux fonctionnel, interactif et critique</w:t>
      </w:r>
      <w:r>
        <w:rPr>
          <w:sz w:val="22"/>
          <w:szCs w:val="22"/>
        </w:rPr>
        <w:t xml:space="preserve"> [74]</w:t>
      </w:r>
      <w:r>
        <w:rPr>
          <w:i w:val="false"/>
          <w:iCs w:val="false"/>
          <w:sz w:val="22"/>
          <w:szCs w:val="22"/>
        </w:rPr>
        <w:t xml:space="preserve">, est inégalement distribuée</w:t>
      </w:r>
      <w:r>
        <w:rPr>
          <w:sz w:val="22"/>
          <w:szCs w:val="22"/>
        </w:rPr>
        <w:t xml:space="preserve"> [51]</w:t>
      </w:r>
      <w:r>
        <w:rPr>
          <w:i w:val="false"/>
          <w:iCs w:val="false"/>
          <w:sz w:val="22"/>
          <w:szCs w:val="22"/>
        </w:rPr>
        <w:t xml:space="preserve">. Une explication qui se raccourcit devant les femmes les moins instruites transforme une inégalité de littératie en inégalité de capacité d'agir, ce que le protocole formulait comme le risque d'une intervention universelle appliquée dans un contexte inégalitaire</w:t>
      </w:r>
      <w:r>
        <w:rPr>
          <w:sz w:val="22"/>
          <w:szCs w:val="22"/>
        </w:rPr>
        <w:t xml:space="preserve"> [51]</w:t>
      </w:r>
      <w:r>
        <w:rPr>
          <w:i w:val="false"/>
          <w:iCs w:val="false"/>
          <w:sz w:val="22"/>
          <w:szCs w:val="22"/>
        </w:rPr>
        <w:t xml:space="preserve">. L'expérience rwandaise de la consultation prénatale en groupe, qui a amélioré les connaissances sans modifier les indicateurs cliniques usuels</w:t>
      </w:r>
      <w:r>
        <w:rPr>
          <w:sz w:val="22"/>
          <w:szCs w:val="22"/>
        </w:rPr>
        <w:t xml:space="preserve"> [65,66]</w:t>
      </w:r>
      <w:r>
        <w:rPr>
          <w:i w:val="false"/>
          <w:iCs w:val="false"/>
          <w:sz w:val="22"/>
          <w:szCs w:val="22"/>
        </w:rPr>
        <w:t xml:space="preserve">, confirme que la portée capacitante d'un service ne se lit pas dans ses indicateurs de contact.</w:t>
      </w:r>
    </w:p>
    <w:p>
      <w:pPr>
        <w:spacing w:after="140"/>
        <w:jc w:val="both"/>
      </w:pPr>
      <w:r>
        <w:rPr>
          <w:i w:val="false"/>
          <w:iCs w:val="false"/>
          <w:sz w:val="22"/>
          <w:szCs w:val="22"/>
        </w:rPr>
        <w:t xml:space="preserve">Deux nuances s'imposent. D'une part, les participants ne décrivent pas un choix délibéré mais un arbitrage sous contrainte de temps : cette conduite correspond au rationnement pratiqué par les agents de première ligne lorsque la demande excède les moyens</w:t>
      </w:r>
      <w:r>
        <w:rPr>
          <w:sz w:val="22"/>
          <w:szCs w:val="22"/>
        </w:rPr>
        <w:t xml:space="preserve"> [75]</w:t>
      </w:r>
      <w:r>
        <w:rPr>
          <w:i w:val="false"/>
          <w:iCs w:val="false"/>
          <w:sz w:val="22"/>
          <w:szCs w:val="22"/>
        </w:rPr>
        <w:t xml:space="preserve">, dans un pays où la densité de professionnels qualifiés reste très inférieure au seuil de l'OMS</w:t>
      </w:r>
      <w:r>
        <w:rPr>
          <w:sz w:val="22"/>
          <w:szCs w:val="22"/>
        </w:rPr>
        <w:t xml:space="preserve"> [70]</w:t>
      </w:r>
      <w:r>
        <w:rPr>
          <w:i w:val="false"/>
          <w:iCs w:val="false"/>
          <w:sz w:val="22"/>
          <w:szCs w:val="22"/>
        </w:rPr>
        <w:t xml:space="preserve">. D'autre part, des contre-pratiques existent : faire reformuler la femme, utiliser une image commune, refuser de classer les femmes par avance. Elles rejoignent le principe d'universalisme proportionné, selon lequel l'action doit être universelle, mais d'une ampleur et d'une intensité proportionnelles au niveau de désavantage</w:t>
      </w:r>
      <w:r>
        <w:rPr>
          <w:sz w:val="22"/>
          <w:szCs w:val="22"/>
        </w:rPr>
        <w:t xml:space="preserve"> [76]</w:t>
      </w:r>
      <w:r>
        <w:rPr>
          <w:i w:val="false"/>
          <w:iCs w:val="false"/>
          <w:sz w:val="22"/>
          <w:szCs w:val="22"/>
        </w:rPr>
        <w:t xml:space="preserve">.</w:t>
      </w:r>
    </w:p>
    <w:p>
      <w:pPr>
        <w:pStyle w:val="Heading3"/>
        <w:spacing w:after="100" w:before="180"/>
      </w:pPr>
      <w:r>
        <w:t xml:space="preserve">6.2.3. Ce qui est compté existe, et ce qui est compté peut tromper</w:t>
      </w:r>
    </w:p>
    <w:p>
      <w:pPr>
        <w:spacing w:after="140"/>
        <w:jc w:val="both"/>
      </w:pPr>
      <w:r>
        <w:rPr>
          <w:i w:val="false"/>
          <w:iCs w:val="false"/>
          <w:sz w:val="22"/>
          <w:szCs w:val="22"/>
        </w:rPr>
        <w:t xml:space="preserve">Les participants attribuent la rupture des intrants, l'absence de maintenance et le peu d'attention de l'encadrement à un même mécanisme : le dépistage ne figure dans aucun indicateur de la CPN. Ce mécanisme prolonge le précédent : la glycémie est comptée, mais dans un autre programme, celui des maladies chroniques. Ce qui n'est pas compté au titre de la CPN n'y est ni commandé, ni réparé, ni supervisé. Le mentorat clinique conduit dans des districts voisins, qui a fait passer l'évaluation complète des signes de danger de 2,1 % à 84,2 % des consultations</w:t>
      </w:r>
      <w:r>
        <w:rPr>
          <w:sz w:val="22"/>
          <w:szCs w:val="22"/>
        </w:rPr>
        <w:t xml:space="preserve"> [68]</w:t>
      </w:r>
      <w:r>
        <w:rPr>
          <w:i w:val="false"/>
          <w:iCs w:val="false"/>
          <w:sz w:val="22"/>
          <w:szCs w:val="22"/>
        </w:rPr>
        <w:t xml:space="preserve">, montre que ces pratiques dépendent de conditions modifiables et de l'attention qu'on leur porte.</w:t>
      </w:r>
    </w:p>
    <w:p>
      <w:pPr>
        <w:spacing w:after="140"/>
        <w:jc w:val="both"/>
      </w:pPr>
      <w:r>
        <w:rPr>
          <w:i w:val="false"/>
          <w:iCs w:val="false"/>
          <w:sz w:val="22"/>
          <w:szCs w:val="22"/>
        </w:rPr>
        <w:t xml:space="preserve">Le thème du registre comme écran en est le revers. Lorsqu'un contrôle porte sur la complétude d'un registre plutôt que sur l'acte qu'il enregistre, il produit de la complétude. Ce mécanisme est connu en évaluation des politiques : plus un indicateur quantitatif sert à la décision, plus il est exposé aux pressions qui déforment les pratiques qu'il devait mesurer</w:t>
      </w:r>
      <w:r>
        <w:rPr>
          <w:sz w:val="22"/>
          <w:szCs w:val="22"/>
        </w:rPr>
        <w:t xml:space="preserve"> [77]</w:t>
      </w:r>
      <w:r>
        <w:rPr>
          <w:i w:val="false"/>
          <w:iCs w:val="false"/>
          <w:sz w:val="22"/>
          <w:szCs w:val="22"/>
        </w:rPr>
        <w:t xml:space="preserve">. Il rejoint la faible concordance, documentée dans quatre districts rwandais, entre les indicateurs prénatals du système d'information et les registres, avec une surdéclaration majoritaire</w:t>
      </w:r>
      <w:r>
        <w:rPr>
          <w:sz w:val="22"/>
          <w:szCs w:val="22"/>
        </w:rPr>
        <w:t xml:space="preserve"> [69]</w:t>
      </w:r>
      <w:r>
        <w:rPr>
          <w:i w:val="false"/>
          <w:iCs w:val="false"/>
          <w:sz w:val="22"/>
          <w:szCs w:val="22"/>
        </w:rPr>
        <w:t xml:space="preserve">. La portée de ce résultat doit cependant être bornée : il repose principalement sur un entretien, corroboré par une observation, et ne permet aucune estimation de fréquence.</w:t>
      </w:r>
    </w:p>
    <w:p>
      <w:pPr>
        <w:spacing w:after="140"/>
        <w:jc w:val="both"/>
      </w:pPr>
      <w:r>
        <w:rPr>
          <w:i w:val="false"/>
          <w:iCs w:val="false"/>
          <w:sz w:val="22"/>
          <w:szCs w:val="22"/>
        </w:rPr>
        <w:t xml:space="preserve">Ajouter un indicateur ne suffit donc pas : il doit porter sur l'acte et sa suite (mesure réalisée, résultat anormal, référence aboutie) et être vérifié par l'observation, faute de quoi il déplacerait l'écran plutôt qu'il ne le lèverait. Une proposition d'indicateur ou de redevabilité est d'ailleurs formulée par 8 participants.</w:t>
      </w:r>
    </w:p>
    <w:p>
      <w:pPr>
        <w:pStyle w:val="Heading3"/>
        <w:spacing w:after="100" w:before="180"/>
      </w:pPr>
      <w:r>
        <w:t xml:space="preserve">6.2.4. Du signalement à la prise en charge</w:t>
      </w:r>
    </w:p>
    <w:p>
      <w:pPr>
        <w:spacing w:after="140"/>
        <w:jc w:val="both"/>
      </w:pPr>
      <w:r>
        <w:rPr>
          <w:i w:val="false"/>
          <w:iCs w:val="false"/>
          <w:sz w:val="22"/>
          <w:szCs w:val="22"/>
        </w:rPr>
        <w:t xml:space="preserve">La revue inventoriait des facteurs limitants récurrents, formation, équipements, coordination, coût, au Cameroun, en Tanzanie et au Kenya</w:t>
      </w:r>
      <w:r>
        <w:rPr>
          <w:sz w:val="22"/>
          <w:szCs w:val="22"/>
        </w:rPr>
        <w:t xml:space="preserve"> [24-26]</w:t>
      </w:r>
      <w:r>
        <w:rPr>
          <w:i w:val="false"/>
          <w:iCs w:val="false"/>
          <w:sz w:val="22"/>
          <w:szCs w:val="22"/>
        </w:rPr>
        <w:t xml:space="preserve">, sans montrer comment ils s'articulent dans l'expérience professionnelle. Le thème « trouver sans pouvoir suivre » apporte cette articulation. La détection n'a de valeur que si trois maillons tiennent : le transport, la décision du ménage, le retour d'information de l'hôpital. Lorsque l'un cède, les participants décrivent un dépistage qui « s'arrête à la détection ». L'absence de retour d'information, rapportée par 15 participants, rejoint les pratiques sous-optimales de référence urgente rapportées par les prestataires de CPN de 121 centres de santé rwandais</w:t>
      </w:r>
      <w:r>
        <w:rPr>
          <w:sz w:val="22"/>
          <w:szCs w:val="22"/>
        </w:rPr>
        <w:t xml:space="preserve"> [78]</w:t>
      </w:r>
      <w:r>
        <w:rPr>
          <w:i w:val="false"/>
          <w:iCs w:val="false"/>
          <w:sz w:val="22"/>
          <w:szCs w:val="22"/>
        </w:rPr>
        <w:t xml:space="preserve">.</w:t>
      </w:r>
    </w:p>
    <w:p>
      <w:pPr>
        <w:spacing w:after="140"/>
        <w:jc w:val="both"/>
      </w:pPr>
      <w:r>
        <w:rPr>
          <w:i w:val="false"/>
          <w:iCs w:val="false"/>
          <w:sz w:val="22"/>
          <w:szCs w:val="22"/>
        </w:rPr>
        <w:t xml:space="preserve">Au regard du cadre, ces résultats relèvent de l'axe « créer des milieux favorables » et de la stratégie « servir de médiateur » de la Charte d'Ottawa</w:t>
      </w:r>
      <w:r>
        <w:rPr>
          <w:sz w:val="22"/>
          <w:szCs w:val="22"/>
        </w:rPr>
        <w:t xml:space="preserve"> [23]</w:t>
      </w:r>
      <w:r>
        <w:rPr>
          <w:i w:val="false"/>
          <w:iCs w:val="false"/>
          <w:sz w:val="22"/>
          <w:szCs w:val="22"/>
        </w:rPr>
        <w:t xml:space="preserve">, dans leur dimension de coordination et de référence. Ils mettent en évidence deux discontinuités peu traitées par la littérature consultée : la sortie du suivi à l'accouchement, alors que la grossesse peut révéler ces affections pour la première fois et que leur portée excède la période gestationnelle</w:t>
      </w:r>
      <w:r>
        <w:rPr>
          <w:sz w:val="22"/>
          <w:szCs w:val="22"/>
        </w:rPr>
        <w:t xml:space="preserve"> [4,5]</w:t>
      </w:r>
      <w:r>
        <w:rPr>
          <w:i w:val="false"/>
          <w:iCs w:val="false"/>
          <w:sz w:val="22"/>
          <w:szCs w:val="22"/>
        </w:rPr>
        <w:t xml:space="preserve">, et la mobilité des femmes, que l'organisation du suivi, centrée sur le centre plutôt que sur la femme, ne prend pas en compte.</w:t>
      </w:r>
    </w:p>
    <w:p>
      <w:pPr>
        <w:pStyle w:val="Heading3"/>
        <w:spacing w:after="100" w:before="180"/>
      </w:pPr>
      <w:r>
        <w:t xml:space="preserve">6.2.5. Des arrangements locaux, efficaces et fragiles</w:t>
      </w:r>
    </w:p>
    <w:p>
      <w:pPr>
        <w:spacing w:after="140"/>
        <w:jc w:val="both"/>
      </w:pPr>
      <w:r>
        <w:rPr>
          <w:i w:val="false"/>
          <w:iCs w:val="false"/>
          <w:sz w:val="22"/>
          <w:szCs w:val="22"/>
        </w:rPr>
        <w:t xml:space="preserve">La revue concluait que la jonction entre santé maternelle et maladies chroniques reposait sur l'initiative des équipes. Les résultats le confirment : relais assurés par les agents de santé communautaire, affiche dessinée à la main. Le programme national d'agents de santé communautaire dépiste déjà les maladies non transmissibles à domicile</w:t>
      </w:r>
      <w:r>
        <w:rPr>
          <w:sz w:val="22"/>
          <w:szCs w:val="22"/>
        </w:rPr>
        <w:t xml:space="preserve"> [63,64]</w:t>
      </w:r>
      <w:r>
        <w:rPr>
          <w:i w:val="false"/>
          <w:iCs w:val="false"/>
          <w:sz w:val="22"/>
          <w:szCs w:val="22"/>
        </w:rPr>
        <w:t xml:space="preserve">, mais sans articulation documentée avec la CPN ; les participantes qui s'appuient sur ces agents construisent cette articulation elles-mêmes. Ces arrangements réduisent une partie des écarts ; ils déplacent aussi l'inégalité vers une nouvelle ligne de partage, entre les villages qui disposent d'un agent actif et les autres. Elles reposent enfin sur une personne : une initiative qui n'est reconnue par aucun outil officiel disparaît avec celle qui la porte.</w:t>
      </w:r>
    </w:p>
    <w:p>
      <w:pPr>
        <w:pStyle w:val="Heading3"/>
        <w:spacing w:after="100" w:before="180"/>
      </w:pPr>
      <w:r>
        <w:t xml:space="preserve">6.2.6. Une portée reconnue en équité, sans le mot</w:t>
      </w:r>
    </w:p>
    <w:p>
      <w:pPr>
        <w:spacing w:after="140"/>
        <w:jc w:val="both"/>
      </w:pPr>
      <w:r>
        <w:rPr>
          <w:i w:val="false"/>
          <w:iCs w:val="false"/>
          <w:sz w:val="22"/>
          <w:szCs w:val="22"/>
        </w:rPr>
        <w:t xml:space="preserve">Le mot « équité » n'a pas été prononcé par l'enquêteur. Les participants ont pourtant décrit des inégalités d'accès et les ont jugées, le plus souvent, inacceptables (16 participants sur 20). Deux traits de ces jugements méritent discussion. D'abord, la différence est située dans les conditions et non dans les femmes : l'heure d'arrivée, le lieu, le matériel. Cette lecture correspond à la définition de l'équité retenue par l'étude, l'absence de différences systématiques et évitables entre groupes sociaux</w:t>
      </w:r>
      <w:r>
        <w:rPr>
          <w:sz w:val="22"/>
          <w:szCs w:val="22"/>
        </w:rPr>
        <w:t xml:space="preserve"> [51]</w:t>
      </w:r>
      <w:r>
        <w:rPr>
          <w:i w:val="false"/>
          <w:iCs w:val="false"/>
          <w:sz w:val="22"/>
          <w:szCs w:val="22"/>
        </w:rPr>
        <w:t xml:space="preserve">, et à la place que la Charte d'Ottawa donne à l'équité parmi les conditions préalables à la santé</w:t>
      </w:r>
      <w:r>
        <w:rPr>
          <w:sz w:val="22"/>
          <w:szCs w:val="22"/>
        </w:rPr>
        <w:t xml:space="preserve"> [23]</w:t>
      </w:r>
      <w:r>
        <w:rPr>
          <w:i w:val="false"/>
          <w:iCs w:val="false"/>
          <w:sz w:val="22"/>
          <w:szCs w:val="22"/>
        </w:rPr>
        <w:t xml:space="preserve">. Ensuite, 11 participants distinguent une part de l'inégalité qui leur revient, celle de l'explication. Cette double attribution, au système et à soi, indique que la réorientation des services, que la Charte lie à une transformation des attitudes professionnelles</w:t>
      </w:r>
      <w:r>
        <w:rPr>
          <w:sz w:val="22"/>
          <w:szCs w:val="22"/>
        </w:rPr>
        <w:t xml:space="preserve"> [23]</w:t>
      </w:r>
      <w:r>
        <w:rPr>
          <w:i w:val="false"/>
          <w:iCs w:val="false"/>
          <w:sz w:val="22"/>
          <w:szCs w:val="22"/>
        </w:rPr>
        <w:t xml:space="preserve">, trouve chez ces professionnels un point d'appui.</w:t>
      </w:r>
    </w:p>
    <w:p>
      <w:pPr>
        <w:spacing w:after="140"/>
        <w:jc w:val="both"/>
      </w:pPr>
      <w:r>
        <w:rPr>
          <w:i w:val="false"/>
          <w:iCs w:val="false"/>
          <w:sz w:val="22"/>
          <w:szCs w:val="22"/>
        </w:rPr>
        <w:t xml:space="preserve">Une minorité exprime une normalisation ou une résignation (5 participants). Ces positions s'accompagnent, dans les entretiens, d'une expérience longue de la pénurie ou d'une installation récente. Elles rappellent que le jugement d'équité dépend aussi de l'horizon de ce qui paraît possible.</w:t>
      </w:r>
    </w:p>
    <w:p>
      <w:pPr>
        <w:pStyle w:val="Heading2"/>
        <w:spacing w:after="120" w:before="220"/>
      </w:pPr>
      <w:r>
        <w:t xml:space="preserve">6.3. Retour sur le cadre conceptuel</w:t>
      </w:r>
    </w:p>
    <w:p>
      <w:pPr>
        <w:spacing w:after="140"/>
        <w:jc w:val="both"/>
      </w:pPr>
      <w:r>
        <w:rPr>
          <w:i w:val="false"/>
          <w:iCs w:val="false"/>
          <w:sz w:val="22"/>
          <w:szCs w:val="22"/>
        </w:rPr>
        <w:t xml:space="preserve">Le protocole présentait le cadre comme heuristique et révisable. Sur les 81 codes de l'arbre final (hors familles), 34 sont nés du matériau ; ils ne remettent pas en cause l'articulation des deux ensembles (sens et pratiques ; conditions perçues), mais ils suggèrent trois révisions, présentées au tableau XI.</w:t>
      </w:r>
    </w:p>
    <w:p>
      <w:pPr>
        <w:keepNext/>
        <w:spacing w:after="80" w:before="200"/>
      </w:pPr>
      <w:r>
        <w:rPr>
          <w:b/>
          <w:bCs/>
          <w:sz w:val="20"/>
          <w:szCs w:val="20"/>
        </w:rPr>
        <w:t xml:space="preserve">Tableau XI. Révisions du cadre conceptuel suggérées par les codes inductifs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900"/>
        <w:gridCol w:w="3826"/>
      </w:tblGrid>
      <w:tr>
        <w:trPr>
          <w:tblHeader/>
        </w:trPr>
        <w:tc>
          <w:tcPr>
            <w:tcW w:type="dxa" w:w="2300"/>
            <w:shd w:fill="E8EDF2" w:color="auto" w:val="clear"/>
            <w:tcMar>
              <w:top w:type="dxa" w:w="60"/>
              <w:left w:type="dxa" w:w="100"/>
              <w:bottom w:type="dxa" w:w="60"/>
              <w:right w:type="dxa" w:w="100"/>
            </w:tcMar>
          </w:tcPr>
          <w:p>
            <w:r>
              <w:rPr>
                <w:b/>
                <w:bCs/>
                <w:i w:val="false"/>
                <w:iCs w:val="false"/>
                <w:sz w:val="19"/>
                <w:szCs w:val="19"/>
              </w:rPr>
              <w:t xml:space="preserve">Niveau du cadre</w:t>
            </w:r>
          </w:p>
        </w:tc>
        <w:tc>
          <w:tcPr>
            <w:tcW w:type="dxa" w:w="2900"/>
            <w:shd w:fill="E8EDF2" w:color="auto" w:val="clear"/>
            <w:tcMar>
              <w:top w:type="dxa" w:w="60"/>
              <w:left w:type="dxa" w:w="100"/>
              <w:bottom w:type="dxa" w:w="60"/>
              <w:right w:type="dxa" w:w="100"/>
            </w:tcMar>
          </w:tcPr>
          <w:p>
            <w:r>
              <w:rPr>
                <w:b/>
                <w:bCs/>
                <w:i w:val="false"/>
                <w:iCs w:val="false"/>
                <w:sz w:val="19"/>
                <w:szCs w:val="19"/>
              </w:rPr>
              <w:t xml:space="preserve">Révision suggérée</w:t>
            </w:r>
          </w:p>
        </w:tc>
        <w:tc>
          <w:tcPr>
            <w:tcW w:type="dxa" w:w="3826"/>
            <w:shd w:fill="E8EDF2" w:color="auto" w:val="clear"/>
            <w:tcMar>
              <w:top w:type="dxa" w:w="60"/>
              <w:left w:type="dxa" w:w="100"/>
              <w:bottom w:type="dxa" w:w="60"/>
              <w:right w:type="dxa" w:w="100"/>
            </w:tcMar>
          </w:tcPr>
          <w:p>
            <w:r>
              <w:rPr>
                <w:b/>
                <w:bCs/>
                <w:i w:val="false"/>
                <w:iCs w:val="false"/>
                <w:sz w:val="19"/>
                <w:szCs w:val="19"/>
              </w:rPr>
              <w:t xml:space="preserve">Résultats qui l'appellent</w:t>
            </w:r>
          </w:p>
        </w:tc>
      </w:tr>
      <w:tr>
        <w:trPr>
          <w:tblHeader w:val="off"/>
        </w:trPr>
        <w:tc>
          <w:tcPr>
            <w:tcW w:type="dxa" w:w="2300"/>
            <w:tcMar>
              <w:top w:type="dxa" w:w="60"/>
              <w:left w:type="dxa" w:w="100"/>
              <w:bottom w:type="dxa" w:w="60"/>
              <w:right w:type="dxa" w:w="100"/>
            </w:tcMar>
          </w:tcPr>
          <w:p>
            <w:r>
              <w:rPr>
                <w:b w:val="false"/>
                <w:bCs w:val="false"/>
                <w:i w:val="false"/>
                <w:iCs w:val="false"/>
                <w:sz w:val="19"/>
                <w:szCs w:val="19"/>
              </w:rPr>
              <w:t xml:space="preserve">Niveau organisationnel</w:t>
            </w:r>
          </w:p>
        </w:tc>
        <w:tc>
          <w:tcPr>
            <w:tcW w:type="dxa" w:w="2900"/>
            <w:tcMar>
              <w:top w:type="dxa" w:w="60"/>
              <w:left w:type="dxa" w:w="100"/>
              <w:bottom w:type="dxa" w:w="60"/>
              <w:right w:type="dxa" w:w="100"/>
            </w:tcMar>
          </w:tcPr>
          <w:p>
            <w:r>
              <w:rPr>
                <w:b w:val="false"/>
                <w:bCs w:val="false"/>
                <w:i w:val="false"/>
                <w:iCs w:val="false"/>
                <w:sz w:val="19"/>
                <w:szCs w:val="19"/>
              </w:rPr>
              <w:t xml:space="preserve">Distinguer l'intrant présent, l'intrant utilisable, l'intrant accessible à la CPN et le test accessible sans frais à la femme</w:t>
            </w:r>
          </w:p>
        </w:tc>
        <w:tc>
          <w:tcPr>
            <w:tcW w:type="dxa" w:w="3826"/>
            <w:tcMar>
              <w:top w:type="dxa" w:w="60"/>
              <w:left w:type="dxa" w:w="100"/>
              <w:bottom w:type="dxa" w:w="60"/>
              <w:right w:type="dxa" w:w="100"/>
            </w:tcMar>
          </w:tcPr>
          <w:p>
            <w:r>
              <w:rPr>
                <w:b w:val="false"/>
                <w:bCs w:val="false"/>
                <w:i w:val="false"/>
                <w:iCs w:val="false"/>
                <w:sz w:val="19"/>
                <w:szCs w:val="19"/>
              </w:rPr>
              <w:t xml:space="preserve">Glucomètre au laboratoire ou à la consultation des maladies chroniques ; bandelettes réservées, absentes ou périmées ; appareils en panne ; test hors du paquet de la CPN, payé par la femme (thèmes 1 et 5)</w:t>
            </w:r>
          </w:p>
        </w:tc>
      </w:tr>
      <w:tr>
        <w:trPr>
          <w:tblHeader w:val="off"/>
        </w:trPr>
        <w:tc>
          <w:tcPr>
            <w:tcW w:type="dxa" w:w="2300"/>
            <w:tcMar>
              <w:top w:type="dxa" w:w="60"/>
              <w:left w:type="dxa" w:w="100"/>
              <w:bottom w:type="dxa" w:w="60"/>
              <w:right w:type="dxa" w:w="100"/>
            </w:tcMar>
          </w:tcPr>
          <w:p>
            <w:r>
              <w:rPr>
                <w:b w:val="false"/>
                <w:bCs w:val="false"/>
                <w:i w:val="false"/>
                <w:iCs w:val="false"/>
                <w:sz w:val="19"/>
                <w:szCs w:val="19"/>
              </w:rPr>
              <w:t xml:space="preserve">Entre le service et le social perçu</w:t>
            </w:r>
          </w:p>
        </w:tc>
        <w:tc>
          <w:tcPr>
            <w:tcW w:type="dxa" w:w="2900"/>
            <w:tcMar>
              <w:top w:type="dxa" w:w="60"/>
              <w:left w:type="dxa" w:w="100"/>
              <w:bottom w:type="dxa" w:w="60"/>
              <w:right w:type="dxa" w:w="100"/>
            </w:tcMar>
          </w:tcPr>
          <w:p>
            <w:r>
              <w:rPr>
                <w:b w:val="false"/>
                <w:bCs w:val="false"/>
                <w:i w:val="false"/>
                <w:iCs w:val="false"/>
                <w:sz w:val="19"/>
                <w:szCs w:val="19"/>
              </w:rPr>
              <w:t xml:space="preserve">Ajouter une articulation communautaire</w:t>
            </w:r>
          </w:p>
        </w:tc>
        <w:tc>
          <w:tcPr>
            <w:tcW w:type="dxa" w:w="3826"/>
            <w:tcMar>
              <w:top w:type="dxa" w:w="60"/>
              <w:left w:type="dxa" w:w="100"/>
              <w:bottom w:type="dxa" w:w="60"/>
              <w:right w:type="dxa" w:w="100"/>
            </w:tcMar>
          </w:tcPr>
          <w:p>
            <w:r>
              <w:rPr>
                <w:b w:val="false"/>
                <w:bCs w:val="false"/>
                <w:i w:val="false"/>
                <w:iCs w:val="false"/>
                <w:sz w:val="19"/>
                <w:szCs w:val="19"/>
              </w:rPr>
              <w:t xml:space="preserve">Relais des agents de santé communautaire, suivi des femmes référées (thème 7)</w:t>
            </w:r>
          </w:p>
        </w:tc>
      </w:tr>
      <w:tr>
        <w:trPr>
          <w:tblHeader w:val="off"/>
        </w:trPr>
        <w:tc>
          <w:tcPr>
            <w:tcW w:type="dxa" w:w="2300"/>
            <w:tcMar>
              <w:top w:type="dxa" w:w="60"/>
              <w:left w:type="dxa" w:w="100"/>
              <w:bottom w:type="dxa" w:w="60"/>
              <w:right w:type="dxa" w:w="100"/>
            </w:tcMar>
          </w:tcPr>
          <w:p>
            <w:r>
              <w:rPr>
                <w:b w:val="false"/>
                <w:bCs w:val="false"/>
                <w:i w:val="false"/>
                <w:iCs w:val="false"/>
                <w:sz w:val="19"/>
                <w:szCs w:val="19"/>
              </w:rPr>
              <w:t xml:space="preserve">Niveau systémique</w:t>
            </w:r>
          </w:p>
        </w:tc>
        <w:tc>
          <w:tcPr>
            <w:tcW w:type="dxa" w:w="2900"/>
            <w:tcMar>
              <w:top w:type="dxa" w:w="60"/>
              <w:left w:type="dxa" w:w="100"/>
              <w:bottom w:type="dxa" w:w="60"/>
              <w:right w:type="dxa" w:w="100"/>
            </w:tcMar>
          </w:tcPr>
          <w:p>
            <w:r>
              <w:rPr>
                <w:b w:val="false"/>
                <w:bCs w:val="false"/>
                <w:i w:val="false"/>
                <w:iCs w:val="false"/>
                <w:sz w:val="19"/>
                <w:szCs w:val="19"/>
              </w:rPr>
              <w:t xml:space="preserve">Faire du dispositif de contrôle une condition à part entière</w:t>
            </w:r>
          </w:p>
        </w:tc>
        <w:tc>
          <w:tcPr>
            <w:tcW w:type="dxa" w:w="3826"/>
            <w:tcMar>
              <w:top w:type="dxa" w:w="60"/>
              <w:left w:type="dxa" w:w="100"/>
              <w:bottom w:type="dxa" w:w="60"/>
              <w:right w:type="dxa" w:w="100"/>
            </w:tcMar>
          </w:tcPr>
          <w:p>
            <w:r>
              <w:rPr>
                <w:b w:val="false"/>
                <w:bCs w:val="false"/>
                <w:i w:val="false"/>
                <w:iCs w:val="false"/>
                <w:sz w:val="19"/>
                <w:szCs w:val="19"/>
              </w:rPr>
              <w:t xml:space="preserve">Indicateurs et complétude des registres orientent l'attention et peuvent masquer l'inégalité (thèmes 4 et 6)</w:t>
            </w:r>
          </w:p>
        </w:tc>
      </w:tr>
    </w:tbl>
    <w:p>
      <w:pPr>
        <w:spacing w:after="200" w:before="60"/>
      </w:pPr>
      <w:r>
        <w:rPr>
          <w:i/>
          <w:iCs/>
          <w:color w:val="555555"/>
          <w:sz w:val="18"/>
          <w:szCs w:val="18"/>
        </w:rPr>
        <w:t xml:space="preserve">Source : mémo « Piste d'audit 3 — révision du cadre conceptuel » du projet QualiCode.</w:t>
      </w:r>
    </w:p>
    <w:p>
      <w:pPr>
        <w:spacing w:after="140"/>
        <w:jc w:val="both"/>
      </w:pPr>
      <w:r>
        <w:rPr>
          <w:i w:val="false"/>
          <w:iCs w:val="false"/>
          <w:sz w:val="22"/>
          <w:szCs w:val="22"/>
        </w:rPr>
        <w:t xml:space="preserve">La première révision est la plus directement liée au terrain : le modèle socio-écologique retenu</w:t>
      </w:r>
      <w:r>
        <w:rPr>
          <w:sz w:val="22"/>
          <w:szCs w:val="22"/>
        </w:rPr>
        <w:t xml:space="preserve"> [41]</w:t>
      </w:r>
      <w:r>
        <w:rPr>
          <w:i w:val="false"/>
          <w:iCs w:val="false"/>
          <w:sz w:val="22"/>
          <w:szCs w:val="22"/>
        </w:rPr>
        <w:t xml:space="preserve"> distingue les niveaux, mais il ne permet pas de voir qu'un intrant présent dans le centre peut rester inaccessible au service qui en a besoin. La deuxième situe une articulation communautaire entre le service et le social perçu, là où opèrent les agents de santé communautaire. La troisième fait du dispositif de contrôle une condition systémique à part entière, ce que la Charte n'envisage pas explicitement mais que nos résultats rendent nécessaire pour comprendre la distribution effective du dépistage.</w:t>
      </w:r>
    </w:p>
    <w:p>
      <w:pPr>
        <w:pStyle w:val="Heading2"/>
        <w:spacing w:after="120" w:before="220"/>
      </w:pPr>
      <w:r>
        <w:t xml:space="preserve">6.4. Forces et limites de l'étude</w:t>
      </w:r>
    </w:p>
    <w:p>
      <w:pPr>
        <w:pStyle w:val="Heading3"/>
        <w:spacing w:after="100" w:before="180"/>
      </w:pPr>
      <w:r>
        <w:t xml:space="preserve">6.4.1. Forces</w:t>
      </w:r>
    </w:p>
    <w:p>
      <w:pPr>
        <w:spacing w:after="140"/>
        <w:jc w:val="both"/>
      </w:pPr>
      <w:r>
        <w:rPr>
          <w:i w:val="false"/>
          <w:iCs w:val="false"/>
          <w:sz w:val="22"/>
          <w:szCs w:val="22"/>
        </w:rPr>
        <w:t xml:space="preserve">L'échantillonnage à variation maximale couvre quinze des seize centres du district, le seizième ayant servi au pré-test, et chacune des modalités des sept dimensions du tableau II. La puissance informationnelle</w:t>
      </w:r>
      <w:r>
        <w:rPr>
          <w:sz w:val="22"/>
          <w:szCs w:val="22"/>
        </w:rPr>
        <w:t xml:space="preserve"> [44]</w:t>
      </w:r>
      <w:r>
        <w:rPr>
          <w:i w:val="false"/>
          <w:iCs w:val="false"/>
          <w:sz w:val="22"/>
          <w:szCs w:val="22"/>
        </w:rPr>
        <w:t xml:space="preserve"> a été appréciée dimension par dimension, plutôt que par un critère de saturation dont la pertinence a été discutée</w:t>
      </w:r>
      <w:r>
        <w:rPr>
          <w:sz w:val="22"/>
          <w:szCs w:val="22"/>
        </w:rPr>
        <w:t xml:space="preserve"> [45]</w:t>
      </w:r>
      <w:r>
        <w:rPr>
          <w:i w:val="false"/>
          <w:iCs w:val="false"/>
          <w:sz w:val="22"/>
          <w:szCs w:val="22"/>
        </w:rPr>
        <w:t xml:space="preserve">. La crédibilité repose sur la triangulation des entretiens avec l'observation et les données de routine, qui a mis en évidence des concordances autant que des écarts ; l'observation a notamment permis de situer le glucomètre, ce que les entretiens seuls n'auraient pas établi. La fidélité du codage a été contrôlée par un double codage indépendant de 3 entretiens (κ = 0,866) et un recodage intra-codeur de 3 entretiens après quatre semaines (κ = 0,956). Les interprétations ont été soumises à trois participants volontaires. Ces procédures répondent aux critères de crédibilité, de dépendabilité, de confirmabilité et de transférabilité retenus</w:t>
      </w:r>
      <w:r>
        <w:rPr>
          <w:sz w:val="22"/>
          <w:szCs w:val="22"/>
        </w:rPr>
        <w:t xml:space="preserve"> [46]</w:t>
      </w:r>
      <w:r>
        <w:rPr>
          <w:i w:val="false"/>
          <w:iCs w:val="false"/>
          <w:sz w:val="22"/>
          <w:szCs w:val="22"/>
        </w:rPr>
        <w:t xml:space="preserve">, et le rapportage suit la grille COREQ</w:t>
      </w:r>
      <w:r>
        <w:rPr>
          <w:sz w:val="22"/>
          <w:szCs w:val="22"/>
        </w:rPr>
        <w:t xml:space="preserve"> [47]</w:t>
      </w:r>
      <w:r>
        <w:rPr>
          <w:i w:val="false"/>
          <w:iCs w:val="false"/>
          <w:sz w:val="22"/>
          <w:szCs w:val="22"/>
        </w:rPr>
        <w:t xml:space="preserve">.</w:t>
      </w:r>
    </w:p>
    <w:p>
      <w:pPr>
        <w:pStyle w:val="Heading3"/>
        <w:spacing w:after="100" w:before="180"/>
      </w:pPr>
      <w:r>
        <w:t xml:space="preserve">6.4.2. Limites</w:t>
      </w:r>
    </w:p>
    <w:p>
      <w:pPr>
        <w:spacing w:after="140"/>
        <w:jc w:val="both"/>
      </w:pPr>
      <w:r>
        <w:rPr>
          <w:i w:val="false"/>
          <w:iCs w:val="false"/>
          <w:sz w:val="22"/>
          <w:szCs w:val="22"/>
        </w:rPr>
        <w:t xml:space="preserve">Les résultats portent sur des perceptions et des pratiques déclarées. Les propos des participants sur les femmes sont des représentations professionnelles : ils ne décrivent ni les femmes elles-mêmes, ni leurs pratiques, et le point de vue des femmes reste hors du champ de l'étude. Les pratiques déclarées peuvent s'écarter des pratiques réelles ; l'observation l'a montré dans 2 centres. Une désirabilité sociale est possible, l'étude pouvant être perçue comme une évaluation.</w:t>
      </w:r>
    </w:p>
    <w:p>
      <w:pPr>
        <w:spacing w:after="140"/>
        <w:jc w:val="both"/>
      </w:pPr>
      <w:r>
        <w:rPr>
          <w:i w:val="false"/>
          <w:iCs w:val="false"/>
          <w:sz w:val="22"/>
          <w:szCs w:val="22"/>
        </w:rPr>
        <w:t xml:space="preserve">L'observation, limitée à une demi-journée par centre, est exposée à un effet de la présence de l'observateur sur les pratiques observées</w:t>
      </w:r>
      <w:r>
        <w:rPr>
          <w:sz w:val="22"/>
          <w:szCs w:val="22"/>
        </w:rPr>
        <w:t xml:space="preserve"> [79]</w:t>
      </w:r>
      <w:r>
        <w:rPr>
          <w:i w:val="false"/>
          <w:iCs w:val="false"/>
          <w:sz w:val="22"/>
          <w:szCs w:val="22"/>
        </w:rPr>
        <w:t xml:space="preserve">. Les données de routine, de qualité limitée</w:t>
      </w:r>
      <w:r>
        <w:rPr>
          <w:sz w:val="22"/>
          <w:szCs w:val="22"/>
        </w:rPr>
        <w:t xml:space="preserve"> [69]</w:t>
      </w:r>
      <w:r>
        <w:rPr>
          <w:i w:val="false"/>
          <w:iCs w:val="false"/>
          <w:sz w:val="22"/>
          <w:szCs w:val="22"/>
        </w:rPr>
        <w:t xml:space="preserve">, ne caractérisent que le contexte. La traduction des entretiens conduits en kinyarwanda, langue que le chercheur maîtrise sans qu'elle soit sa langue première, introduit un risque de perte de sens, contrôlé mais non supprimé par la vérification indépendante d'un échantillon de passages. Enfin, l'étude porte sur un seul district : ses résultats ne se généralisent pas, mais la description dense du contexte doit permettre au lecteur d'apprécier leur transférabilité à d'autres districts ruraux.</w:t>
      </w:r>
    </w:p>
    <w:p>
      <w:pPr>
        <w:pStyle w:val="Heading2"/>
        <w:spacing w:after="120" w:before="220"/>
      </w:pPr>
      <w:r>
        <w:t xml:space="preserve">6.5. Implications et recommandations</w:t>
      </w:r>
    </w:p>
    <w:p>
      <w:pPr>
        <w:spacing w:after="140"/>
        <w:jc w:val="both"/>
      </w:pPr>
      <w:r>
        <w:rPr>
          <w:i w:val="false"/>
          <w:iCs w:val="false"/>
          <w:sz w:val="22"/>
          <w:szCs w:val="22"/>
        </w:rPr>
        <w:t xml:space="preserve">Les recommandations suivantes découlent des résultats et des transformations proposées par les participants. Elles sont présentées par destinataire (tableau XII).</w:t>
      </w:r>
    </w:p>
    <w:p>
      <w:pPr>
        <w:keepNext/>
        <w:spacing w:after="80" w:before="200"/>
      </w:pPr>
      <w:r>
        <w:rPr>
          <w:b/>
          <w:bCs/>
          <w:sz w:val="20"/>
          <w:szCs w:val="20"/>
        </w:rPr>
        <w:t xml:space="preserve">Tableau XII. Recommandations par destinataire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5126"/>
        <w:gridCol w:w="1700"/>
      </w:tblGrid>
      <w:tr>
        <w:trPr>
          <w:tblHeader/>
        </w:trPr>
        <w:tc>
          <w:tcPr>
            <w:tcW w:type="dxa" w:w="2200"/>
            <w:shd w:fill="E8EDF2" w:color="auto" w:val="clear"/>
            <w:tcMar>
              <w:top w:type="dxa" w:w="60"/>
              <w:left w:type="dxa" w:w="100"/>
              <w:bottom w:type="dxa" w:w="60"/>
              <w:right w:type="dxa" w:w="100"/>
            </w:tcMar>
          </w:tcPr>
          <w:p>
            <w:r>
              <w:rPr>
                <w:b/>
                <w:bCs/>
                <w:i w:val="false"/>
                <w:iCs w:val="false"/>
                <w:sz w:val="19"/>
                <w:szCs w:val="19"/>
              </w:rPr>
              <w:t xml:space="preserve">Destinataire</w:t>
            </w:r>
          </w:p>
        </w:tc>
        <w:tc>
          <w:tcPr>
            <w:tcW w:type="dxa" w:w="5126"/>
            <w:shd w:fill="E8EDF2" w:color="auto" w:val="clear"/>
            <w:tcMar>
              <w:top w:type="dxa" w:w="60"/>
              <w:left w:type="dxa" w:w="100"/>
              <w:bottom w:type="dxa" w:w="60"/>
              <w:right w:type="dxa" w:w="100"/>
            </w:tcMar>
          </w:tcPr>
          <w:p>
            <w:r>
              <w:rPr>
                <w:b/>
                <w:bCs/>
                <w:i w:val="false"/>
                <w:iCs w:val="false"/>
                <w:sz w:val="19"/>
                <w:szCs w:val="19"/>
              </w:rPr>
              <w:t xml:space="preserve">Recommandations</w:t>
            </w:r>
          </w:p>
        </w:tc>
        <w:tc>
          <w:tcPr>
            <w:tcW w:type="dxa" w:w="1700"/>
            <w:shd w:fill="E8EDF2" w:color="auto" w:val="clear"/>
            <w:tcMar>
              <w:top w:type="dxa" w:w="60"/>
              <w:left w:type="dxa" w:w="100"/>
              <w:bottom w:type="dxa" w:w="60"/>
              <w:right w:type="dxa" w:w="100"/>
            </w:tcMar>
          </w:tcPr>
          <w:p>
            <w:r>
              <w:rPr>
                <w:b/>
                <w:bCs/>
                <w:i w:val="false"/>
                <w:iCs w:val="false"/>
                <w:sz w:val="19"/>
                <w:szCs w:val="19"/>
              </w:rPr>
              <w:t xml:space="preserve">Résultats d'appui</w:t>
            </w:r>
          </w:p>
        </w:tc>
      </w:tr>
      <w:tr>
        <w:trPr>
          <w:tblHeader w:val="off"/>
        </w:trPr>
        <w:tc>
          <w:tcPr>
            <w:tcW w:type="dxa" w:w="2200"/>
            <w:tcMar>
              <w:top w:type="dxa" w:w="60"/>
              <w:left w:type="dxa" w:w="100"/>
              <w:bottom w:type="dxa" w:w="60"/>
              <w:right w:type="dxa" w:w="100"/>
            </w:tcMar>
          </w:tcPr>
          <w:p>
            <w:r>
              <w:rPr>
                <w:b w:val="false"/>
                <w:bCs w:val="false"/>
                <w:i w:val="false"/>
                <w:iCs w:val="false"/>
                <w:sz w:val="19"/>
                <w:szCs w:val="19"/>
              </w:rPr>
              <w:t xml:space="preserve">Ministère de la Santé et Rwanda Biomedical Centre</w:t>
            </w:r>
          </w:p>
        </w:tc>
        <w:tc>
          <w:tcPr>
            <w:tcW w:type="dxa" w:w="5126"/>
            <w:tcMar>
              <w:top w:type="dxa" w:w="60"/>
              <w:left w:type="dxa" w:w="100"/>
              <w:bottom w:type="dxa" w:w="60"/>
              <w:right w:type="dxa" w:w="100"/>
            </w:tcMar>
          </w:tcPr>
          <w:p>
            <w:r>
              <w:rPr>
                <w:b w:val="false"/>
                <w:bCs w:val="false"/>
                <w:i w:val="false"/>
                <w:iCs w:val="false"/>
                <w:sz w:val="19"/>
                <w:szCs w:val="19"/>
              </w:rPr>
              <w:t xml:space="preserve">Inscrire la glycémie de la femme enceinte dans le paquet de soins de la CPN, sans frais pour elle ; fixer par écrit les signes d'appel et les facteurs de risque qui justifient le test</w:t>
            </w:r>
          </w:p>
        </w:tc>
        <w:tc>
          <w:tcPr>
            <w:tcW w:type="dxa" w:w="1700"/>
            <w:tcMar>
              <w:top w:type="dxa" w:w="60"/>
              <w:left w:type="dxa" w:w="100"/>
              <w:bottom w:type="dxa" w:w="60"/>
              <w:right w:type="dxa" w:w="100"/>
            </w:tcMar>
          </w:tcPr>
          <w:p>
            <w:r>
              <w:rPr>
                <w:b w:val="false"/>
                <w:bCs w:val="false"/>
                <w:i w:val="false"/>
                <w:iCs w:val="false"/>
                <w:sz w:val="19"/>
                <w:szCs w:val="19"/>
              </w:rPr>
              <w:t xml:space="preserve">Thème 1</w:t>
            </w:r>
          </w:p>
        </w:tc>
      </w:tr>
      <w:tr>
        <w:trPr>
          <w:tblHeader w:val="off"/>
        </w:trPr>
        <w:tc>
          <w:tcPr>
            <w:tcW w:type="dxa" w:w="2200"/>
            <w:tcMar>
              <w:top w:type="dxa" w:w="60"/>
              <w:left w:type="dxa" w:w="100"/>
              <w:bottom w:type="dxa" w:w="60"/>
              <w:right w:type="dxa" w:w="100"/>
            </w:tcMar>
          </w:tcPr>
          <w:p>
            <w:r>
              <w:rPr>
                <w:b w:val="false"/>
                <w:bCs w:val="false"/>
                <w:i w:val="false"/>
                <w:iCs w:val="false"/>
                <w:sz w:val="19"/>
                <w:szCs w:val="19"/>
              </w:rPr>
              <w:t xml:space="preserve">Direction de la santé du district</w:t>
            </w:r>
          </w:p>
        </w:tc>
        <w:tc>
          <w:tcPr>
            <w:tcW w:type="dxa" w:w="5126"/>
            <w:tcMar>
              <w:top w:type="dxa" w:w="60"/>
              <w:left w:type="dxa" w:w="100"/>
              <w:bottom w:type="dxa" w:w="60"/>
              <w:right w:type="dxa" w:w="100"/>
            </w:tcMar>
          </w:tcPr>
          <w:p>
            <w:r>
              <w:rPr>
                <w:b w:val="false"/>
                <w:bCs w:val="false"/>
                <w:i w:val="false"/>
                <w:iCs w:val="false"/>
                <w:sz w:val="19"/>
                <w:szCs w:val="19"/>
              </w:rPr>
              <w:t xml:space="preserve">Rattacher explicitement la glycémie de la femme enceinte à la CPN : réserver au laboratoire une part des bandelettes pour les bons de la CPN, et inclure ces bandelettes et les piles des tensiomètres dans les intrants essentiels ; inscrire dans le rapport mensuel une ligne sur le dépistage (tensions mesurées, glycémies réalisées, résultats anormaux, références abouties) ; organiser la maintenance des appareils ; superviser par l'observation des actes et non par la seule complétude des registres</w:t>
            </w:r>
          </w:p>
        </w:tc>
        <w:tc>
          <w:tcPr>
            <w:tcW w:type="dxa" w:w="1700"/>
            <w:tcMar>
              <w:top w:type="dxa" w:w="60"/>
              <w:left w:type="dxa" w:w="100"/>
              <w:bottom w:type="dxa" w:w="60"/>
              <w:right w:type="dxa" w:w="100"/>
            </w:tcMar>
          </w:tcPr>
          <w:p>
            <w:r>
              <w:rPr>
                <w:b w:val="false"/>
                <w:bCs w:val="false"/>
                <w:i w:val="false"/>
                <w:iCs w:val="false"/>
                <w:sz w:val="19"/>
                <w:szCs w:val="19"/>
              </w:rPr>
              <w:t xml:space="preserve">Thèmes 1, 4, 5 et 6</w:t>
            </w:r>
          </w:p>
        </w:tc>
      </w:tr>
      <w:tr>
        <w:trPr>
          <w:tblHeader w:val="off"/>
        </w:trPr>
        <w:tc>
          <w:tcPr>
            <w:tcW w:type="dxa" w:w="2200"/>
            <w:tcMar>
              <w:top w:type="dxa" w:w="60"/>
              <w:left w:type="dxa" w:w="100"/>
              <w:bottom w:type="dxa" w:w="60"/>
              <w:right w:type="dxa" w:w="100"/>
            </w:tcMar>
          </w:tcPr>
          <w:p>
            <w:r>
              <w:rPr>
                <w:b w:val="false"/>
                <w:bCs w:val="false"/>
                <w:i w:val="false"/>
                <w:iCs w:val="false"/>
                <w:sz w:val="19"/>
                <w:szCs w:val="19"/>
              </w:rPr>
              <w:t xml:space="preserve">Responsables des centres de santé</w:t>
            </w:r>
          </w:p>
        </w:tc>
        <w:tc>
          <w:tcPr>
            <w:tcW w:type="dxa" w:w="5126"/>
            <w:tcMar>
              <w:top w:type="dxa" w:w="60"/>
              <w:left w:type="dxa" w:w="100"/>
              <w:bottom w:type="dxa" w:w="60"/>
              <w:right w:type="dxa" w:w="100"/>
            </w:tcMar>
          </w:tcPr>
          <w:p>
            <w:r>
              <w:rPr>
                <w:b w:val="false"/>
                <w:bCs w:val="false"/>
                <w:i w:val="false"/>
                <w:iCs w:val="false"/>
                <w:sz w:val="19"/>
                <w:szCs w:val="19"/>
              </w:rPr>
              <w:t xml:space="preserve">Organiser le circuit « bon de CPN → laboratoire » le matin même ; coordonner la CPN et la consultation des maladies chroniques pour l'usage du glucomètre</w:t>
            </w:r>
          </w:p>
        </w:tc>
        <w:tc>
          <w:tcPr>
            <w:tcW w:type="dxa" w:w="1700"/>
            <w:tcMar>
              <w:top w:type="dxa" w:w="60"/>
              <w:left w:type="dxa" w:w="100"/>
              <w:bottom w:type="dxa" w:w="60"/>
              <w:right w:type="dxa" w:w="100"/>
            </w:tcMar>
          </w:tcPr>
          <w:p>
            <w:r>
              <w:rPr>
                <w:b w:val="false"/>
                <w:bCs w:val="false"/>
                <w:i w:val="false"/>
                <w:iCs w:val="false"/>
                <w:sz w:val="19"/>
                <w:szCs w:val="19"/>
              </w:rPr>
              <w:t xml:space="preserve">Thème 1</w:t>
            </w:r>
          </w:p>
        </w:tc>
      </w:tr>
      <w:tr>
        <w:trPr>
          <w:tblHeader w:val="off"/>
        </w:trPr>
        <w:tc>
          <w:tcPr>
            <w:tcW w:type="dxa" w:w="2200"/>
            <w:tcMar>
              <w:top w:type="dxa" w:w="60"/>
              <w:left w:type="dxa" w:w="100"/>
              <w:bottom w:type="dxa" w:w="60"/>
              <w:right w:type="dxa" w:w="100"/>
            </w:tcMar>
          </w:tcPr>
          <w:p>
            <w:r>
              <w:rPr>
                <w:b w:val="false"/>
                <w:bCs w:val="false"/>
                <w:i w:val="false"/>
                <w:iCs w:val="false"/>
                <w:sz w:val="19"/>
                <w:szCs w:val="19"/>
              </w:rPr>
              <w:t xml:space="preserve">Hôpital de district</w:t>
            </w:r>
          </w:p>
        </w:tc>
        <w:tc>
          <w:tcPr>
            <w:tcW w:type="dxa" w:w="5126"/>
            <w:tcMar>
              <w:top w:type="dxa" w:w="60"/>
              <w:left w:type="dxa" w:w="100"/>
              <w:bottom w:type="dxa" w:w="60"/>
              <w:right w:type="dxa" w:w="100"/>
            </w:tcMar>
          </w:tcPr>
          <w:p>
            <w:r>
              <w:rPr>
                <w:b w:val="false"/>
                <w:bCs w:val="false"/>
                <w:i w:val="false"/>
                <w:iCs w:val="false"/>
                <w:sz w:val="19"/>
                <w:szCs w:val="19"/>
              </w:rPr>
              <w:t xml:space="preserve">Rendre systématique le retour d'information vers le centre pour chaque femme référée ; organiser le suivi après l'accouchement des femmes dépistées</w:t>
            </w:r>
          </w:p>
        </w:tc>
        <w:tc>
          <w:tcPr>
            <w:tcW w:type="dxa" w:w="1700"/>
            <w:tcMar>
              <w:top w:type="dxa" w:w="60"/>
              <w:left w:type="dxa" w:w="100"/>
              <w:bottom w:type="dxa" w:w="60"/>
              <w:right w:type="dxa" w:w="100"/>
            </w:tcMar>
          </w:tcPr>
          <w:p>
            <w:r>
              <w:rPr>
                <w:b w:val="false"/>
                <w:bCs w:val="false"/>
                <w:i w:val="false"/>
                <w:iCs w:val="false"/>
                <w:sz w:val="19"/>
                <w:szCs w:val="19"/>
              </w:rPr>
              <w:t xml:space="preserve">Thème 3</w:t>
            </w:r>
          </w:p>
        </w:tc>
      </w:tr>
      <w:tr>
        <w:trPr>
          <w:tblHeader w:val="off"/>
        </w:trPr>
        <w:tc>
          <w:tcPr>
            <w:tcW w:type="dxa" w:w="2200"/>
            <w:tcMar>
              <w:top w:type="dxa" w:w="60"/>
              <w:left w:type="dxa" w:w="100"/>
              <w:bottom w:type="dxa" w:w="60"/>
              <w:right w:type="dxa" w:w="100"/>
            </w:tcMar>
          </w:tcPr>
          <w:p>
            <w:r>
              <w:rPr>
                <w:b w:val="false"/>
                <w:bCs w:val="false"/>
                <w:i w:val="false"/>
                <w:iCs w:val="false"/>
                <w:sz w:val="19"/>
                <w:szCs w:val="19"/>
              </w:rPr>
              <w:t xml:space="preserve">Équipes de CPN</w:t>
            </w:r>
          </w:p>
        </w:tc>
        <w:tc>
          <w:tcPr>
            <w:tcW w:type="dxa" w:w="5126"/>
            <w:tcMar>
              <w:top w:type="dxa" w:w="60"/>
              <w:left w:type="dxa" w:w="100"/>
              <w:bottom w:type="dxa" w:w="60"/>
              <w:right w:type="dxa" w:w="100"/>
            </w:tcMar>
          </w:tcPr>
          <w:p>
            <w:r>
              <w:rPr>
                <w:b w:val="false"/>
                <w:bCs w:val="false"/>
                <w:i w:val="false"/>
                <w:iCs w:val="false"/>
                <w:sz w:val="19"/>
                <w:szCs w:val="19"/>
              </w:rPr>
              <w:t xml:space="preserve">Vérifier la compréhension en faisant reformuler la femme ; utiliser un support visuel commun ; consacrer davantage de temps d'explication aux femmes qui en ont le plus besoin ; tracer les références</w:t>
            </w:r>
          </w:p>
        </w:tc>
        <w:tc>
          <w:tcPr>
            <w:tcW w:type="dxa" w:w="1700"/>
            <w:tcMar>
              <w:top w:type="dxa" w:w="60"/>
              <w:left w:type="dxa" w:w="100"/>
              <w:bottom w:type="dxa" w:w="60"/>
              <w:right w:type="dxa" w:w="100"/>
            </w:tcMar>
          </w:tcPr>
          <w:p>
            <w:r>
              <w:rPr>
                <w:b w:val="false"/>
                <w:bCs w:val="false"/>
                <w:i w:val="false"/>
                <w:iCs w:val="false"/>
                <w:sz w:val="19"/>
                <w:szCs w:val="19"/>
              </w:rPr>
              <w:t xml:space="preserve">Thème 2</w:t>
            </w:r>
          </w:p>
        </w:tc>
      </w:tr>
      <w:tr>
        <w:trPr>
          <w:tblHeader w:val="off"/>
        </w:trPr>
        <w:tc>
          <w:tcPr>
            <w:tcW w:type="dxa" w:w="2200"/>
            <w:tcMar>
              <w:top w:type="dxa" w:w="60"/>
              <w:left w:type="dxa" w:w="100"/>
              <w:bottom w:type="dxa" w:w="60"/>
              <w:right w:type="dxa" w:w="100"/>
            </w:tcMar>
          </w:tcPr>
          <w:p>
            <w:r>
              <w:rPr>
                <w:b w:val="false"/>
                <w:bCs w:val="false"/>
                <w:i w:val="false"/>
                <w:iCs w:val="false"/>
                <w:sz w:val="19"/>
                <w:szCs w:val="19"/>
              </w:rPr>
              <w:t xml:space="preserve">Formation initiale et continue</w:t>
            </w:r>
          </w:p>
        </w:tc>
        <w:tc>
          <w:tcPr>
            <w:tcW w:type="dxa" w:w="5126"/>
            <w:tcMar>
              <w:top w:type="dxa" w:w="60"/>
              <w:left w:type="dxa" w:w="100"/>
              <w:bottom w:type="dxa" w:w="60"/>
              <w:right w:type="dxa" w:w="100"/>
            </w:tcMar>
          </w:tcPr>
          <w:p>
            <w:r>
              <w:rPr>
                <w:b w:val="false"/>
                <w:bCs w:val="false"/>
                <w:i w:val="false"/>
                <w:iCs w:val="false"/>
                <w:sz w:val="19"/>
                <w:szCs w:val="19"/>
              </w:rPr>
              <w:t xml:space="preserve">Former les infirmiers affectés aux constantes autant que les sages-femmes ; former des équipes plutôt que des personnes ; intégrer la pratique informative et sa distribution entre les femmes au contenu des formations</w:t>
            </w:r>
          </w:p>
        </w:tc>
        <w:tc>
          <w:tcPr>
            <w:tcW w:type="dxa" w:w="1700"/>
            <w:tcMar>
              <w:top w:type="dxa" w:w="60"/>
              <w:left w:type="dxa" w:w="100"/>
              <w:bottom w:type="dxa" w:w="60"/>
              <w:right w:type="dxa" w:w="100"/>
            </w:tcMar>
          </w:tcPr>
          <w:p>
            <w:r>
              <w:rPr>
                <w:b w:val="false"/>
                <w:bCs w:val="false"/>
                <w:i w:val="false"/>
                <w:iCs w:val="false"/>
                <w:sz w:val="19"/>
                <w:szCs w:val="19"/>
              </w:rPr>
              <w:t xml:space="preserve">Thèmes 1 et 2 ; conditions individuelles</w:t>
            </w:r>
          </w:p>
        </w:tc>
      </w:tr>
      <w:tr>
        <w:trPr>
          <w:tblHeader w:val="off"/>
        </w:trPr>
        <w:tc>
          <w:tcPr>
            <w:tcW w:type="dxa" w:w="2200"/>
            <w:tcMar>
              <w:top w:type="dxa" w:w="60"/>
              <w:left w:type="dxa" w:w="100"/>
              <w:bottom w:type="dxa" w:w="60"/>
              <w:right w:type="dxa" w:w="100"/>
            </w:tcMar>
          </w:tcPr>
          <w:p>
            <w:r>
              <w:rPr>
                <w:b w:val="false"/>
                <w:bCs w:val="false"/>
                <w:i w:val="false"/>
                <w:iCs w:val="false"/>
                <w:sz w:val="19"/>
                <w:szCs w:val="19"/>
              </w:rPr>
              <w:t xml:space="preserve">Programme de santé communautaire</w:t>
            </w:r>
          </w:p>
        </w:tc>
        <w:tc>
          <w:tcPr>
            <w:tcW w:type="dxa" w:w="5126"/>
            <w:tcMar>
              <w:top w:type="dxa" w:w="60"/>
              <w:left w:type="dxa" w:w="100"/>
              <w:bottom w:type="dxa" w:w="60"/>
              <w:right w:type="dxa" w:w="100"/>
            </w:tcMar>
          </w:tcPr>
          <w:p>
            <w:r>
              <w:rPr>
                <w:b w:val="false"/>
                <w:bCs w:val="false"/>
                <w:i w:val="false"/>
                <w:iCs w:val="false"/>
                <w:sz w:val="19"/>
                <w:szCs w:val="19"/>
              </w:rPr>
              <w:t xml:space="preserve">Appuyer le rôle des agents dans le suivi des femmes référées et après l'accouchement, et reconnaître les outils de suivi créés localement</w:t>
            </w:r>
          </w:p>
        </w:tc>
        <w:tc>
          <w:tcPr>
            <w:tcW w:type="dxa" w:w="1700"/>
            <w:tcMar>
              <w:top w:type="dxa" w:w="60"/>
              <w:left w:type="dxa" w:w="100"/>
              <w:bottom w:type="dxa" w:w="60"/>
              <w:right w:type="dxa" w:w="100"/>
            </w:tcMar>
          </w:tcPr>
          <w:p>
            <w:r>
              <w:rPr>
                <w:b w:val="false"/>
                <w:bCs w:val="false"/>
                <w:i w:val="false"/>
                <w:iCs w:val="false"/>
                <w:sz w:val="19"/>
                <w:szCs w:val="19"/>
              </w:rPr>
              <w:t xml:space="preserve">Thème 7</w:t>
            </w:r>
          </w:p>
        </w:tc>
      </w:tr>
    </w:tbl>
    <w:p>
      <w:pPr>
        <w:spacing w:after="200" w:before="60"/>
      </w:pPr>
      <w:r>
        <w:rPr>
          <w:i/>
          <w:iCs/>
          <w:color w:val="555555"/>
          <w:sz w:val="18"/>
          <w:szCs w:val="18"/>
        </w:rPr>
        <w:t xml:space="preserve">Source : chapitre 5 (thèmes 1 à 7 et transformations proposées par les participants).</w:t>
      </w:r>
    </w:p>
    <w:p>
      <w:pPr>
        <w:pStyle w:val="Heading2"/>
        <w:spacing w:after="120" w:before="220"/>
      </w:pPr>
      <w:r>
        <w:t xml:space="preserve">6.6. Perspectives de recherche</w:t>
      </w:r>
    </w:p>
    <w:p>
      <w:pPr>
        <w:spacing w:after="140"/>
        <w:jc w:val="both"/>
      </w:pPr>
      <w:r>
        <w:rPr>
          <w:i w:val="false"/>
          <w:iCs w:val="false"/>
          <w:sz w:val="22"/>
          <w:szCs w:val="22"/>
        </w:rPr>
        <w:t xml:space="preserve">Trois prolongements paraissent prioritaires. Le premier est de recueillir le point de vue des femmes sur l'explication qu'elles reçoivent, pour confronter la modulation décrite par les prestataires à l'expérience de celles qui la reçoivent. Le deuxième est une étude quantitative de la couverture effective du dépistage glycémique chez les femmes enceintes, à partir des registres des laboratoires des centres de santé, qui permettrait de vérifier l'hypothèse d'un sous-dépistage contribuant aux faibles prévalences rapportées. Le troisième est une étude de suivi des femmes dépistées après l'accouchement, pour documenter la discontinuité que les participants placent au premier rang de leurs préoccupations.</w:t>
      </w:r>
    </w:p>
    <w:p>
      <w:pPr>
        <w:pStyle w:val="Heading2"/>
        <w:spacing w:after="120" w:before="220"/>
      </w:pPr>
      <w:r>
        <w:t xml:space="preserve">Références ajoutées pendant la rédaction (à vérifier, puis à intégrer à la bibliographie)</w:t>
      </w:r>
    </w:p>
    <w:p>
      <w:pPr>
        <w:spacing w:after="80"/>
        <w:ind w:left="567" w:hanging="567"/>
      </w:pPr>
      <w:r>
        <w:rPr>
          <w:sz w:val="20"/>
          <w:szCs w:val="20"/>
        </w:rPr>
        <w:t xml:space="preserve">72.	Niyonsenga SP, Park PH, Ngoga G, et al. Implementation outcomes of national decentralization of integrated outpatient services for severe non-communicable diseases to district hospitals in Rwanda. Trop Med Int Health. 2021;26(8):953-61.</w:t>
      </w:r>
    </w:p>
    <w:p>
      <w:pPr>
        <w:spacing w:after="80"/>
        <w:ind w:left="567" w:hanging="567"/>
      </w:pPr>
      <w:r>
        <w:rPr>
          <w:sz w:val="20"/>
          <w:szCs w:val="20"/>
        </w:rPr>
        <w:t xml:space="preserve">73.	Tudor Hart J. The inverse care law. Lancet. 1971;1(7696):405-12.</w:t>
      </w:r>
    </w:p>
    <w:p>
      <w:pPr>
        <w:spacing w:after="80"/>
        <w:ind w:left="567" w:hanging="567"/>
      </w:pPr>
      <w:r>
        <w:rPr>
          <w:sz w:val="20"/>
          <w:szCs w:val="20"/>
        </w:rPr>
        <w:t xml:space="preserve">74.	Nutbeam D. Health literacy as a public health goal: a challenge for contemporary health education and communication strategies into the 21st century. Health Promot Int. 2000;15(3):259-67.</w:t>
      </w:r>
    </w:p>
    <w:p>
      <w:pPr>
        <w:spacing w:after="80"/>
        <w:ind w:left="567" w:hanging="567"/>
      </w:pPr>
      <w:r>
        <w:rPr>
          <w:sz w:val="20"/>
          <w:szCs w:val="20"/>
        </w:rPr>
        <w:t xml:space="preserve">75.	Lipsky M. Street-level bureaucracy: dilemmas of the individual in public services. New York: Russell Sage Foundation; 1980.</w:t>
      </w:r>
    </w:p>
    <w:p>
      <w:pPr>
        <w:spacing w:after="80"/>
        <w:ind w:left="567" w:hanging="567"/>
      </w:pPr>
      <w:r>
        <w:rPr>
          <w:sz w:val="20"/>
          <w:szCs w:val="20"/>
        </w:rPr>
        <w:t xml:space="preserve">76.	Marmot M, Allen J, Goldblatt P, Boyce T, McNeish D, Grady M, et al. Fair society, healthy lives: the Marmot Review. London: The Marmot Review; 2010.</w:t>
      </w:r>
    </w:p>
    <w:p>
      <w:pPr>
        <w:spacing w:after="80"/>
        <w:ind w:left="567" w:hanging="567"/>
      </w:pPr>
      <w:r>
        <w:rPr>
          <w:sz w:val="20"/>
          <w:szCs w:val="20"/>
        </w:rPr>
        <w:t xml:space="preserve">77.	Campbell DT. Assessing the impact of planned social change. Eval Program Plann. 1979;2(1):67-90.</w:t>
      </w:r>
    </w:p>
    <w:p>
      <w:pPr>
        <w:spacing w:after="80"/>
        <w:ind w:left="567" w:hanging="567"/>
      </w:pPr>
      <w:r>
        <w:rPr>
          <w:sz w:val="20"/>
          <w:szCs w:val="20"/>
        </w:rPr>
        <w:t xml:space="preserve">78.	Rurangirwa AA, Mogren I, Ntaganira J, Govender K, Krantz G. Quality of antenatal care services in Rwanda: assessing practices of health care providers. BMC Health Serv Res. 2018;18(1):865.</w:t>
      </w:r>
    </w:p>
    <w:p>
      <w:pPr>
        <w:spacing w:after="80"/>
        <w:ind w:left="567" w:hanging="567"/>
      </w:pPr>
      <w:r>
        <w:rPr>
          <w:sz w:val="20"/>
          <w:szCs w:val="20"/>
        </w:rPr>
        <w:t xml:space="preserve">79.	McCambridge J, Witton J, Elbourne DR. Systematic review of the Hawthorne effect: new concepts are needed to study research participation effects. J Clin Epidemiol. 2014;67(3):267-77.</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b/>
      <w:bCs/>
      <w:color w:val="17334F"/>
      <w:sz w:val="30"/>
      <w:szCs w:val="30"/>
    </w:rPr>
  </w:style>
  <w:style w:type="paragraph" w:styleId="Heading2">
    <w:name w:val="Heading 2"/>
    <w:basedOn w:val="Normal"/>
    <w:next w:val="Normal"/>
    <w:qFormat/>
    <w:pPr>
      <w:spacing w:after="120" w:before="260"/>
    </w:pPr>
    <w:rPr>
      <w:b/>
      <w:bCs/>
      <w:color w:val="26567D"/>
      <w:sz w:val="25"/>
      <w:szCs w:val="25"/>
    </w:rPr>
  </w:style>
  <w:style w:type="paragraph" w:styleId="Heading3">
    <w:name w:val="Heading 3"/>
    <w:basedOn w:val="Normal"/>
    <w:next w:val="Normal"/>
    <w:qFormat/>
    <w:pPr>
      <w:spacing w:after="100" w:before="200"/>
    </w:pPr>
    <w:rPr>
      <w:b/>
      <w:bCs/>
      <w:color w:val="2E6DA4"/>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2026-10-02T10:12:49.557Z</dcterms:created>
  <dcterms:modified xsi:type="dcterms:W3CDTF">2026-10-02T10:12:49.557Z</dcterms:modified>
</cp:coreProperties>
</file>

<file path=docProps/custom.xml><?xml version="1.0" encoding="utf-8"?>
<Properties xmlns="http://schemas.openxmlformats.org/officeDocument/2006/custom-properties" xmlns:vt="http://schemas.openxmlformats.org/officeDocument/2006/docPropsVTypes"/>
</file>