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rPr>
        <w:t xml:space="preserve">UNIVERSITÉ DE PARAKOU — ENATSE</w:t>
      </w:r>
    </w:p>
    <w:p>
      <w:pPr>
        <w:spacing w:after="300"/>
        <w:jc w:val="center"/>
      </w:pPr>
      <w:r>
        <w:rPr/>
        <w:t xml:space="preserve">Master en Santé publique — Promotion de la santé</w:t>
      </w:r>
    </w:p>
    <w:p>
      <w:pPr>
        <w:spacing w:after="240"/>
        <w:jc w:val="center"/>
      </w:pPr>
      <w:r>
        <w:rPr>
          <w:i/>
          <w:iCs/>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rPr>
        <w:t xml:space="preserve">Rapport de mémoire (rédaction d'exercice)</w:t>
      </w:r>
    </w:p>
    <w:p/>
    <w:tbl>
      <w:tblPr>
        <w:tblW w:type="dxa" w:w="8787"/>
        <w:tblBorders>
          <w:top w:val="single" w:color="C0392B" w:sz="12"/>
          <w:left w:val="single" w:color="C0392B" w:sz="12"/>
          <w:bottom w:val="single" w:color="C0392B" w:sz="12"/>
          <w:right w:val="single" w:color="C0392B" w:sz="12"/>
          <w:insideH w:val="single" w:color="auto" w:sz="4"/>
          <w:insideV w:val="single" w:color="auto" w:sz="4"/>
        </w:tblBorders>
      </w:tblPr>
      <w:tblGrid>
        <w:gridCol w:w="8787"/>
      </w:tblGrid>
      <w:tr>
        <w:tc>
          <w:tcPr>
            <w:tcW w:type="dxa" w:w="8787"/>
            <w:shd w:fill="FDEDEC" w:color="auto" w:val="clear"/>
            <w:tcMar>
              <w:top w:type="dxa" w:w="140"/>
              <w:left w:type="dxa" w:w="160"/>
              <w:bottom w:type="dxa" w:w="140"/>
              <w:right w:type="dxa" w:w="160"/>
            </w:tcMar>
          </w:tcPr>
          <w:p>
            <w:pPr>
              <w:spacing w:before="40" w:after="40" w:line="240" w:lineRule="auto"/>
              <w:jc w:val="left"/>
              <w:rPr>
                <w:sz w:val="22"/>
                <w:szCs w:val="22"/>
              </w:rPr>
            </w:pPr>
            <w:r>
              <w:rPr>
                <w:b/>
                <w:bCs/>
                <w:color w:val="C0392B"/>
                <w:sz w:val="22"/>
                <w:szCs w:val="22"/>
              </w:rPr>
              <w:t xml:space="preserve">⚠ DONNÉES ENTIÈREMENT SIMULÉES — EXERCICE DE FORMATION</w:t>
            </w:r>
          </w:p>
          <w:p>
            <w:pPr>
              <w:spacing w:before="40" w:after="40" w:line="240" w:lineRule="auto"/>
              <w:jc w:val="left"/>
              <w:rPr>
                <w:sz w:val="22"/>
                <w:szCs w:val="22"/>
              </w:rPr>
            </w:pPr>
            <w:r>
              <w:rPr>
                <w:sz w:val="22"/>
                <w:szCs w:val="22"/>
              </w:rPr>
              <w:t xml:space="preserve">Aucun entretien n'a été conduit. Aucun centre de santé n'a été visité. Aucune des personnes décrites n'existe. Ce document sert exclusivement à apprendre à manipuler l'outil d'analyse avant la collecte réelle.</w:t>
            </w:r>
          </w:p>
          <w:p>
            <w:pPr>
              <w:spacing w:before="40" w:after="40" w:line="240" w:lineRule="auto"/>
              <w:jc w:val="left"/>
              <w:rPr>
                <w:sz w:val="22"/>
                <w:szCs w:val="22"/>
              </w:rPr>
            </w:pPr>
            <w:r>
              <w:rPr>
                <w:b/>
                <w:bCs/>
                <w:sz w:val="22"/>
                <w:szCs w:val="22"/>
              </w:rPr>
              <w:t xml:space="preserve">Il ne peut être cité, ni figurer dans le mémoire, ni servir de résultat, ni être présenté à un comité d'éthique ou à un jury comme une donnée de terrain.</w:t>
            </w:r>
          </w:p>
        </w:tc>
      </w:tr>
    </w:tbl>
    <w:p/>
    <w:p>
      <w:pPr>
        <w:spacing w:after="80"/>
        <w:rPr/>
      </w:pPr>
      <w:r>
        <w:rPr/>
        <w:t xml:space="preserve">Synthèse du mémoire à l'intention des lecteurs qui ne liront pas le document entier : direction de mémoire, direction de la santé du district, responsables des centres participants.</w:t>
      </w:r>
    </w:p>
    <w:p>
      <w:pPr>
        <w:spacing w:after="80"/>
        <w:rPr/>
      </w:pPr>
      <w:r>
        <w:rPr/>
        <w:t xml:space="preserve"/>
      </w:r>
    </w:p>
    <w:p>
      <w:pPr>
        <w:spacing w:after="80"/>
        <w:rPr/>
      </w:pPr>
      <w:r>
        <w:rPr/>
        <w:t xml:space="preserve">Les chiffres sont calculés à partir du projet d'analyse ; les thèmes, les citations et les recommandations sont ceux des chapitres 5 et 6. Les numéros entre crochets renvoient à la bibliographie du mémoire complet.</w:t>
      </w:r>
    </w:p>
    <w:p>
      <w:pPr>
        <w:spacing w:after="80"/>
        <w:rPr/>
      </w:pPr>
      <w:r>
        <w:rPr/>
        <w:t xml:space="preserve"/>
      </w:r>
    </w:p>
    <w:p>
      <w:pPr>
        <w:spacing w:after="80"/>
        <w:rPr/>
      </w:pPr>
      <w:r>
        <w:rPr/>
        <w:t xml:space="preserve">Ce texte est un MODÈLE de forme, rédigé sur des données simulées. Le rapport réel portera sur les résultats réels et ne reprendra rien de celui-ci.</w:t>
      </w:r>
    </w:p>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36"/>
        <w:gridCol w:w="6451"/>
      </w:tblGrid>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Chercheur</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MUKAKI DUNIA Jacques</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Institution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ENATSE, Université de Parakou (Bénin) — Master en Santé publique, Promotion de la santé</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Professeure N. Fanny M. HOUNKPONOU AHOUINGNAN</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Période simulée</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11 août – 30 septembre 2026 (période prévue au protocole, § 4.2.5.3)</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Échantillon simulé</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10 infirmiers ou infirmières et 10 sages-femmes, 15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rPr>
        <w:t xml:space="preserve">Le dépistage est coupé en deux. La tension est mesurée en CPN ; la glycémie se fait au laboratoire ou à la consultation des maladies chroniques. Aucun des 15 centres n'avait de glucomètre en salle de CPN, et la glycémie n'était accessible à la femme enceinte que dans 5 d'entre eux — sur des signes d'appel seulement, et à ses frais, car le test ne figure pas dans le paquet de soins de la CPN.</w:t>
      </w:r>
    </w:p>
    <w:p>
      <w:pPr>
        <w:pStyle w:val="ListParagraph"/>
        <w:numPr>
          <w:ilvl w:val="0"/>
          <w:numId w:val="1"/>
        </w:numPr>
        <w:spacing w:after="80"/>
        <w:jc w:val="both"/>
      </w:pPr>
      <w:r>
        <w:rPr>
          <w:i w:val="false"/>
          <w:iCs w:val="false"/>
        </w:rPr>
        <w:t xml:space="preserve">L'explication — la part du dépistage qui permet à la femme d'agir — se raccourcit pour celles qui arrivent tard, posent peu de questions ou n'ont pas d'autre source d'information : elle est distribuée à l'inverse des besoins.</w:t>
      </w:r>
    </w:p>
    <w:p>
      <w:pPr>
        <w:pStyle w:val="ListParagraph"/>
        <w:numPr>
          <w:ilvl w:val="0"/>
          <w:numId w:val="1"/>
        </w:numPr>
        <w:spacing w:after="80"/>
        <w:jc w:val="both"/>
      </w:pPr>
      <w:r>
        <w:rPr>
          <w:i w:val="false"/>
          <w:iCs w:val="false"/>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rPr>
        <w:t xml:space="preserve">La référence dépend d'un véhicule et revient rarement ; le suivi s'interrompt à l'accouchement.</w:t>
      </w:r>
    </w:p>
    <w:p>
      <w:pPr>
        <w:pStyle w:val="ListParagraph"/>
        <w:numPr>
          <w:ilvl w:val="0"/>
          <w:numId w:val="1"/>
        </w:numPr>
        <w:spacing w:after="80"/>
        <w:jc w:val="both"/>
      </w:pPr>
      <w:r>
        <w:rPr>
          <w:i w:val="false"/>
          <w:iCs w:val="false"/>
        </w:rPr>
        <w:t xml:space="preserve">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after="160" w:before="280"/>
      </w:pPr>
      <w:r>
        <w:t xml:space="preserve">1. CONTEXTE ET JUSTIFICATION</w:t>
      </w:r>
    </w:p>
    <w:p>
      <w:pPr>
        <w:spacing w:after="140"/>
        <w:jc w:val="both"/>
      </w:pPr>
      <w:r>
        <w:rPr>
          <w:i w:val="false"/>
          <w:iCs w:val="false"/>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[11]</w:t>
      </w:r>
      <w:r>
        <w:rPr>
          <w:i w:val="false"/>
          <w:iCs w:val="false"/>
        </w:rPr>
        <w:t xml:space="preserve">. Le Rwanda a adopté le paquet d'interventions essentielles de l'OMS contre les maladies non transmissibles</w:t>
      </w:r>
      <w:r>
        <w:rPr/>
        <w:t xml:space="preserve"> [14]</w:t>
      </w:r>
      <w:r>
        <w:rPr>
          <w:i w:val="false"/>
          <w:iCs w:val="false"/>
        </w:rPr>
        <w:t xml:space="preserve">.</w:t>
      </w:r>
    </w:p>
    <w:p>
      <w:pPr>
        <w:spacing w:after="140"/>
        <w:jc w:val="both"/>
      </w:pPr>
      <w:r>
        <w:rPr>
          <w:i w:val="false"/>
          <w:iCs w:val="false"/>
        </w:rPr>
        <w:t xml:space="preserve">Les données nationales montrent l'écart entre ces recommandations et la pratique. Selon l'enquête STEPS de 2022, 87,0 % des femmes n'avaient jamais eu de mesure de la glycémie, contre 38 % qui n'avaient jamais eu de mesure de la tension</w:t>
      </w:r>
      <w:r>
        <w:rPr/>
        <w:t xml:space="preserve"> [16]</w:t>
      </w:r>
      <w:r>
        <w:rPr>
          <w:i w:val="false"/>
          <w:iCs w:val="false"/>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[27]</w:t>
      </w:r>
      <w:r>
        <w:rPr>
          <w:i w:val="false"/>
          <w:iCs w:val="false"/>
        </w:rPr>
        <w:t xml:space="preserve">.</w:t>
      </w:r>
    </w:p>
    <w:p>
      <w:pPr>
        <w:spacing w:after="140"/>
        <w:jc w:val="both"/>
      </w:pPr>
      <w:r>
        <w:rPr>
          <w:i w:val="false"/>
          <w:iCs w:val="false"/>
        </w:rPr>
        <w:t xml:space="preserve">Au regard de la Charte d'Ottawa</w:t>
      </w:r>
      <w:r>
        <w:rPr/>
        <w:t xml:space="preserve"> [23]</w:t>
      </w:r>
      <w:r>
        <w:rPr>
          <w:i w:val="false"/>
          <w:iCs w:val="false"/>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140"/>
        <w:jc w:val="both"/>
      </w:pPr>
      <w:r>
        <w:rPr>
          <w:i w:val="false"/>
          <w:iCs w:val="false"/>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rPr>
          <w:sz w:val="24"/>
          <w:szCs w:val="24"/>
        </w:rPr>
      </w:pPr>
      <w:r>
        <w:rPr>
          <w:b/>
          <w:bCs/>
          <w:sz w:val="24"/>
          <w:szCs w:val="24"/>
        </w:rPr>
        <w:t xml:space="preserve">Tableau 1. Méthodes en bref</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664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Élément</w:t>
            </w:r>
          </w:p>
        </w:tc>
        <w:tc>
          <w:tcPr>
            <w:tcW w:type="dxa" w:w="664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Description</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Type d'étude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Qualitative descriptive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Cadre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District de Ngoma (Province de l'Est) : 15 des 16 centres de santé, le seizième ayant servi au pré-test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Participants</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Vingt prestataires de CPN (10 infirmiers ou infirmières, 10 sages-femmes, dont 5 titulaires), échantillonnage à variation maximale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Collecte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Entretiens semi-structurés (38 à 61 minutes) ; observation non participante d'une demi-journée par centre, service de CPN et laboratoire ; données de routine du district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 thématique en six phases, codage hybride (déductif à partir du cadre conceptuel, inductif)</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Rigueur</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Double codage indépendant (κ = 0,866) et recodage intra-codeur (κ = 0,956) ; triangulation des sources ; retour des interprétations à des participants volontaires ; grille COREQ</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Éthique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Consentement écrit ; accords distincts pour l'enregistrement et la citation ; codes de participant et de centre jamais associés ; approbation éthique et autorisation du district [références à compléter]</w:t>
            </w:r>
          </w:p>
        </w:tc>
      </w:tr>
    </w:tbl>
    <w:p>
      <w:pPr>
        <w:spacing w:after="200" w:before="60"/>
        <w:rPr>
          <w:sz w:val="22"/>
          <w:szCs w:val="22"/>
        </w:rPr>
      </w:pPr>
      <w:r>
        <w:rPr>
          <w:i/>
          <w:iCs/>
          <w:sz w:val="22"/>
          <w:szCs w:val="22"/>
        </w:rPr>
        <w:t xml:space="preserve">Source : chapitre 4 du mémoire.</w:t>
      </w:r>
    </w:p>
    <w:p>
      <w:pPr>
        <w:pStyle w:val="Heading1"/>
        <w:spacing w:after="160" w:before="280"/>
      </w:pPr>
      <w:r>
        <w:t xml:space="preserve">4. PRINCIPAUX RÉSULTATS</w:t>
      </w:r>
    </w:p>
    <w:p>
      <w:pPr>
        <w:pStyle w:val="Heading2"/>
        <w:spacing w:after="120" w:before="220"/>
      </w:pPr>
      <w:r>
        <w:t xml:space="preserve">4.1. Le glucomètre est au laboratoire, pas en CPN</w:t>
      </w:r>
    </w:p>
    <w:p>
      <w:pPr>
        <w:spacing w:after="140"/>
        <w:jc w:val="both"/>
      </w:pPr>
      <w:r>
        <w:rPr>
          <w:i w:val="false"/>
          <w:iCs w:val="false"/>
        </w:rPr>
        <w:t xml:space="preserve">Le jour de l'observation, le tensiomètre était présent en salle de CPN dans les 15 centres. La glycémie, elle, relevait d'un autre service (tableau 2).</w:t>
      </w:r>
    </w:p>
    <w:p>
      <w:pPr>
        <w:keepNext/>
        <w:spacing w:after="80" w:before="200"/>
        <w:rPr>
          <w:sz w:val="24"/>
          <w:szCs w:val="24"/>
        </w:rPr>
      </w:pPr>
      <w:r>
        <w:rPr>
          <w:b/>
          <w:bCs/>
          <w:sz w:val="24"/>
          <w:szCs w:val="24"/>
        </w:rPr>
        <w:t xml:space="preserve">Tableau 2. Accès de la femme enceinte à la glycémie, le jour de l'observation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40"/>
        <w:gridCol w:w="1947"/>
      </w:tblGrid>
      <w:tr>
        <w:trPr>
          <w:tblHeader/>
        </w:trPr>
        <w:tc>
          <w:tcPr>
            <w:tcW w:type="dxa" w:w="684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Situation observée</w:t>
            </w:r>
          </w:p>
        </w:tc>
        <w:tc>
          <w:tcPr>
            <w:tcW w:type="dxa" w:w="1947"/>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Centres</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en salle de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0</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réalisable au laboratoire, sur bon de la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   dont test payé par la femme (hors paquet de la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et bandelettes réservés à la consultation des maladies chroniques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3</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impossible : appareil en panne, bandelettes absentes ou périmées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Pas de glucomètre dans le centre</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Total</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15</w:t>
            </w:r>
          </w:p>
        </w:tc>
      </w:tr>
    </w:tbl>
    <w:p>
      <w:pPr>
        <w:spacing w:after="200" w:before="60"/>
        <w:rPr>
          <w:sz w:val="22"/>
          <w:szCs w:val="22"/>
        </w:rPr>
      </w:pPr>
      <w:r>
        <w:rPr>
          <w:i/>
          <w:iCs/>
          <w:sz w:val="22"/>
          <w:szCs w:val="22"/>
        </w:rPr>
        <w:t xml:space="preserve">Source : observation non participante des services de CPN et des laboratoires.</w:t>
      </w:r>
    </w:p>
    <w:p>
      <w:pPr>
        <w:spacing w:after="40" w:before="60" w:line="240" w:lineRule="auto"/>
        <w:ind w:left="567" w:right="567"/>
        <w:jc w:val="both"/>
        <w:rPr>
          <w:sz w:val="24"/>
          <w:szCs w:val="24"/>
        </w:rPr>
      </w:pPr>
      <w:r>
        <w:rPr>
          <w:i/>
          <w:iCs/>
          <w:sz w:val="24"/>
          <w:szCs w:val="24"/>
        </w:rPr>
        <w:t xml:space="preserve">« Le sucre, il y a un appareil au laboratoire, pour les malades chroniques. Pour les femmes enceintes, on ne l'a jamais fait. Jamais. »</w:t>
      </w:r>
    </w:p>
    <w:p>
      <w:pPr>
        <w:spacing w:after="160" w:line="240" w:lineRule="auto"/>
        <w:ind w:left="567" w:right="567"/>
        <w:jc w:val="right"/>
        <w:rPr>
          <w:sz w:val="24"/>
          <w:szCs w:val="24"/>
        </w:rPr>
      </w:pPr>
      <w:r>
        <w:rPr>
          <w:sz w:val="24"/>
          <w:szCs w:val="24"/>
        </w:rPr>
        <w:t xml:space="preserve">(P20, infirmier — traduit du kinyarwanda)</w:t>
      </w:r>
    </w:p>
    <w:p>
      <w:pPr>
        <w:spacing w:after="140"/>
        <w:jc w:val="both"/>
      </w:pPr>
      <w:r>
        <w:rPr>
          <w:i w:val="false"/>
          <w:iCs w:val="false"/>
        </w:rPr>
        <w:t xml:space="preserve">Là où la glycémie est possible, elle reste doublement sélective : le bon n'est rédigé que pour les femmes présentant un signe d'appel ou un facteur de risque, et le test, absent du paquet de soins de la CPN, est payé par la femme au laboratoire. Celles qui n'ont pas l'argent le jour même repartent sans l'avoir fait.</w:t>
      </w:r>
    </w:p>
    <w:p>
      <w:pPr>
        <w:spacing w:after="40" w:before="60" w:line="240" w:lineRule="auto"/>
        <w:ind w:left="567" w:right="567"/>
        <w:jc w:val="both"/>
        <w:rPr>
          <w:sz w:val="24"/>
          <w:szCs w:val="24"/>
        </w:rPr>
      </w:pPr>
      <w:r>
        <w:rPr>
          <w:i/>
          <w:iCs/>
          <w:sz w:val="24"/>
          <w:szCs w:val="24"/>
        </w:rPr>
        <w:t xml:space="preserve">« Le test n'est pas dans le paquet de la CPN : au laboratoire, elle doit le payer. Celle qui n'a pas l'argent ce jour-là repart avec le bon dans son carnet, et pour ça, souvent, elle ne revient pas. »</w:t>
      </w:r>
    </w:p>
    <w:p>
      <w:pPr>
        <w:spacing w:after="160" w:line="240" w:lineRule="auto"/>
        <w:ind w:left="567" w:right="567"/>
        <w:jc w:val="right"/>
        <w:rPr>
          <w:sz w:val="24"/>
          <w:szCs w:val="24"/>
        </w:rPr>
      </w:pPr>
      <w:r>
        <w:rPr>
          <w:sz w:val="24"/>
          <w:szCs w:val="24"/>
        </w:rPr>
        <w:t xml:space="preserve">(P01, infirmier — traduit du kinyarwanda)</w:t>
      </w:r>
    </w:p>
    <w:p>
      <w:pPr>
        <w:pStyle w:val="Heading2"/>
        <w:spacing w:after="120" w:before="220"/>
      </w:pPr>
      <w:r>
        <w:t xml:space="preserve">4.2. Sept thèmes</w:t>
      </w:r>
    </w:p>
    <w:p>
      <w:pPr>
        <w:spacing w:after="140"/>
        <w:jc w:val="both"/>
      </w:pPr>
      <w:r>
        <w:rPr>
          <w:i w:val="false"/>
          <w:iCs w:val="false"/>
        </w:rPr>
        <w:t xml:space="preserve">L'analyse a dégagé sept thèmes, dont deux répondent au premier objectif et cinq au second (tableau 3).</w:t>
      </w:r>
    </w:p>
    <w:p>
      <w:pPr>
        <w:keepNext/>
        <w:spacing w:after="80" w:before="200"/>
        <w:rPr>
          <w:sz w:val="24"/>
          <w:szCs w:val="24"/>
        </w:rPr>
      </w:pPr>
      <w:r>
        <w:rPr>
          <w:b/>
          <w:bCs/>
          <w:sz w:val="24"/>
          <w:szCs w:val="24"/>
        </w:rPr>
        <w:t xml:space="preserve">Tableau 3.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1363"/>
        <w:gridCol w:w="4504"/>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363"/>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504"/>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dépistage coupé en deux</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tension est intégrée à la CPN ; la glycémie, demandée sur des signes d'appel, se fait au laboratoire ou à la consultation des maladies chroniques, aux frais de la femme, et cesse d'être pensée là où ce circuit est fermé à la femme enceinte.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avec l'heure, la charge et l'idée que l'on se fait de la femme, à l'inverse des besoins.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L'équipement réduit l'inégalité du test, mais ni celle du coût ni celle de l'explication.</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transformations</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Relais communautaires et initiatives locales prolongent le dépistage ; ils reposent sur une personne.</w:t>
            </w:r>
          </w:p>
        </w:tc>
      </w:tr>
    </w:tbl>
    <w:p>
      <w:pPr>
        <w:spacing w:after="200" w:before="60"/>
        <w:rPr>
          <w:sz w:val="22"/>
          <w:szCs w:val="22"/>
        </w:rPr>
      </w:pPr>
      <w:r>
        <w:rPr>
          <w:i/>
          <w:iCs/>
          <w:sz w:val="22"/>
          <w:szCs w:val="22"/>
        </w:rPr>
        <w:t xml:space="preserve">Source : chapitre 5 du mémoire.</w:t>
      </w:r>
    </w:p>
    <w:p>
      <w:pPr>
        <w:pStyle w:val="Heading2"/>
        <w:spacing w:after="120" w:before="220"/>
      </w:pPr>
      <w:r>
        <w:t xml:space="preserve">4.3. Trois propos qui résument</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spacing w:after="40" w:before="60" w:line="240" w:lineRule="auto"/>
        <w:ind w:left="567" w:right="567"/>
        <w:jc w:val="both"/>
        <w:rPr>
          <w:sz w:val="24"/>
          <w:szCs w:val="24"/>
        </w:rPr>
      </w:pPr>
      <w:r>
        <w:rPr>
          <w:i/>
          <w:iCs/>
          <w:sz w:val="24"/>
          <w:szCs w:val="24"/>
        </w:rPr>
        <w:t xml:space="preserve">« Le fer, on l'a toujours. La moustiquaire, on l'a toujours. Parce qu'ils sont dans les indicateurs. Les bandelettes de glycémie ne sont dans aucun indicateur, donc elles arrivent en dernier ou pas du tout. »</w:t>
      </w:r>
    </w:p>
    <w:p>
      <w:pPr>
        <w:spacing w:after="160" w:line="240" w:lineRule="auto"/>
        <w:ind w:left="567" w:right="567"/>
        <w:jc w:val="right"/>
        <w:rPr>
          <w:sz w:val="24"/>
          <w:szCs w:val="24"/>
        </w:rPr>
      </w:pPr>
      <w:r>
        <w:rPr>
          <w:sz w:val="24"/>
          <w:szCs w:val="24"/>
        </w:rPr>
        <w:t xml:space="preserve">(P07, sage-femme)</w:t>
      </w:r>
    </w:p>
    <w:p>
      <w:pPr>
        <w:spacing w:after="40" w:before="60" w:line="240" w:lineRule="auto"/>
        <w:ind w:left="567" w:right="567"/>
        <w:jc w:val="both"/>
        <w:rPr>
          <w:sz w:val="24"/>
          <w:szCs w:val="24"/>
        </w:rPr>
      </w:pPr>
      <w:r>
        <w:rPr>
          <w:i/>
          <w:iCs/>
          <w:sz w:val="24"/>
          <w:szCs w:val="24"/>
        </w:rPr>
        <w:t xml:space="preserve">« Aujourd'hui je réfère dans le vide. Et tant que je réfère dans le vide, mon dépistage s'arrête à la détection : ce n'est pas un dépistage, c'est un signalement. »</w:t>
      </w:r>
    </w:p>
    <w:p>
      <w:pPr>
        <w:spacing w:after="160" w:line="240" w:lineRule="auto"/>
        <w:ind w:left="567" w:right="567"/>
        <w:jc w:val="right"/>
        <w:rPr>
          <w:sz w:val="24"/>
          <w:szCs w:val="24"/>
        </w:rPr>
      </w:pPr>
      <w:r>
        <w:rPr>
          <w:sz w:val="24"/>
          <w:szCs w:val="24"/>
        </w:rPr>
        <w:t xml:space="preserve">(P07, sage-femme)</w:t>
      </w:r>
    </w:p>
    <w:p>
      <w:pPr>
        <w:pStyle w:val="Heading2"/>
        <w:spacing w:after="120" w:before="220"/>
      </w:pPr>
      <w:r>
        <w:t xml:space="preserve">4.4. Ce que l'observation confirme ou nuance</w:t>
      </w:r>
    </w:p>
    <w:p>
      <w:pPr>
        <w:spacing w:after="140"/>
        <w:jc w:val="both"/>
      </w:pPr>
      <w:r>
        <w:rPr>
          <w:i w:val="false"/>
          <w:iCs w:val="false"/>
        </w:rPr>
        <w:t xml:space="preserve">La confrontation des entretiens avec l'observation et les données de routine a produit 7 constats : 5 concordances et 2 écarts entre pratiques déclarées et pratiques observées. L'observation a notamment permis de situer le glucomètre, ce que les entretiens seuls n'établissaient pas.</w:t>
      </w:r>
    </w:p>
    <w:p>
      <w:pPr>
        <w:pStyle w:val="Heading1"/>
        <w:spacing w:after="160" w:before="280"/>
      </w:pPr>
      <w:r>
        <w:t xml:space="preserve">5. POINTS DE DISCUSSION</w:t>
      </w:r>
    </w:p>
    <w:p>
      <w:pPr>
        <w:pStyle w:val="ListParagraph"/>
        <w:numPr>
          <w:ilvl w:val="0"/>
          <w:numId w:val="1"/>
        </w:numPr>
        <w:spacing w:after="80"/>
        <w:jc w:val="both"/>
      </w:pPr>
      <w:r>
        <w:rPr>
          <w:i w:val="false"/>
          <w:iCs w:val="false"/>
        </w:rPr>
        <w:t xml:space="preserve">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t xml:space="preserve"> [27]</w:t>
      </w:r>
      <w:r>
        <w:rPr>
          <w:i w:val="false"/>
          <w:iCs w:val="false"/>
        </w:rPr>
        <w:t xml:space="preserve">.</w:t>
      </w:r>
    </w:p>
    <w:p>
      <w:pPr>
        <w:pStyle w:val="ListParagraph"/>
        <w:numPr>
          <w:ilvl w:val="0"/>
          <w:numId w:val="1"/>
        </w:numPr>
        <w:spacing w:after="80"/>
        <w:jc w:val="both"/>
      </w:pPr>
      <w:r>
        <w:rPr>
          <w:i w:val="false"/>
          <w:iCs w:val="false"/>
        </w:rPr>
        <w:t xml:space="preserve">Un test payant pour la femme. La couverture de l'assurance communautaire atteint 85,3 %</w:t>
      </w:r>
      <w:r>
        <w:rPr/>
        <w:t xml:space="preserve"> [59]</w:t>
      </w:r>
      <w:r>
        <w:rPr>
          <w:i w:val="false"/>
          <w:iCs w:val="false"/>
        </w:rPr>
        <w:t xml:space="preserve">, mais le recours reste concentré parmi les plus aisés</w:t>
      </w:r>
      <w:r>
        <w:rPr/>
        <w:t xml:space="preserve"> [61,62]</w:t>
      </w:r>
      <w:r>
        <w:rPr>
          <w:i w:val="false"/>
          <w:iCs w:val="false"/>
        </w:rPr>
        <w:t xml:space="preserve">. Un test hors du paquet de la CPN, payé au laboratoire, ajoute à la sélection sur les signes une sélection sur les moyens : c'est elle que la Charte d'Ottawa demande de corriger en conférant à chacun les moyens de sa santé</w:t>
      </w:r>
      <w:r>
        <w:rPr/>
        <w:t xml:space="preserve"> [23]</w:t>
      </w:r>
      <w:r>
        <w:rPr>
          <w:i w:val="false"/>
          <w:iCs w:val="false"/>
        </w:rPr>
        <w:t xml:space="preserve">.</w:t>
      </w:r>
    </w:p>
    <w:p>
      <w:pPr>
        <w:pStyle w:val="ListParagraph"/>
        <w:numPr>
          <w:ilvl w:val="0"/>
          <w:numId w:val="1"/>
        </w:numPr>
        <w:spacing w:after="80"/>
        <w:jc w:val="both"/>
      </w:pPr>
      <w:r>
        <w:rPr>
          <w:i w:val="false"/>
          <w:iCs w:val="false"/>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t xml:space="preserve"> [23]</w:t>
      </w:r>
      <w:r>
        <w:rPr>
          <w:i w:val="false"/>
          <w:iCs w:val="false"/>
        </w:rPr>
        <w:t xml:space="preserve">.</w:t>
      </w:r>
    </w:p>
    <w:p>
      <w:pPr>
        <w:pStyle w:val="ListParagraph"/>
        <w:numPr>
          <w:ilvl w:val="0"/>
          <w:numId w:val="1"/>
        </w:numPr>
        <w:spacing w:after="80"/>
        <w:jc w:val="both"/>
      </w:pPr>
      <w:r>
        <w:rPr>
          <w:i w:val="false"/>
          <w:iCs w:val="false"/>
        </w:rPr>
        <w:t xml:space="preserve">Ce qui est compté existe. Les indicateurs orientent intrants, maintenance et supervision. Un dépistage absent du rapport mensuel n'est ni approvisionné ni contrôlé, et un contrôle de complétude du registre peut produire une égalité apparente.</w:t>
      </w:r>
    </w:p>
    <w:p>
      <w:pPr>
        <w:pStyle w:val="ListParagraph"/>
        <w:numPr>
          <w:ilvl w:val="0"/>
          <w:numId w:val="1"/>
        </w:numPr>
        <w:spacing w:after="80"/>
        <w:jc w:val="both"/>
      </w:pPr>
      <w:r>
        <w:rPr>
          <w:i w:val="false"/>
          <w:iCs w:val="false"/>
        </w:rPr>
        <w:t xml:space="preserve">La dotation ne suffit pas. Là où l'équipement est présent, l'inégalité du test diminue, mais celles du coût et de l'explication demeurent : la réponse ne peut être seulement matérielle.</w:t>
      </w:r>
    </w:p>
    <w:p>
      <w:pPr>
        <w:pStyle w:val="Heading1"/>
        <w:spacing w:after="160" w:before="280"/>
      </w:pPr>
      <w:r>
        <w:t xml:space="preserve">6. RECOMMANDATIONS</w:t>
      </w:r>
    </w:p>
    <w:p>
      <w:pPr>
        <w:keepNext/>
        <w:spacing w:after="80" w:before="200"/>
        <w:rPr>
          <w:sz w:val="24"/>
          <w:szCs w:val="24"/>
        </w:rPr>
      </w:pPr>
      <w:r>
        <w:rPr>
          <w:b/>
          <w:bCs/>
          <w:sz w:val="24"/>
          <w:szCs w:val="24"/>
        </w:rPr>
        <w:t xml:space="preserve">Tableau 4. Recommandations par destinataire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4990"/>
        <w:gridCol w:w="165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Destinataire</w:t>
            </w:r>
          </w:p>
        </w:tc>
        <w:tc>
          <w:tcPr>
            <w:tcW w:type="dxa" w:w="499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Recommandations</w:t>
            </w:r>
          </w:p>
        </w:tc>
        <w:tc>
          <w:tcPr>
            <w:tcW w:type="dxa" w:w="165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Résultats d'appui</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Ministère de la Santé et Rwanda Biomedical Centre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Inscrire la glycémie de la femme enceinte dans le paquet de soins de la CPN, sans frais pour elle ; fixer par écrit les signes d'appel et les facteurs de risque qui justifient le test</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 de la santé du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4, 5 et 6</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Responsables des centres de santé</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Organiser le circuit « bon de CPN → laboratoire » le matin même ; coordonner la CPN et la consultation des maladies chroniques pour l'usage du glucomètre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Hôpital de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Rendre systématique le retour d'information vers le centre pour chaque femme référée ; organiser le suivi après l'accouchement des femmes dépistées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Équipes de CPN</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Vérifier la compréhension en faisant reformuler la femme ; utiliser un support visuel commun ; consacrer davantage de temps d'explication aux femmes qui en ont le plus besoin ; tracer les références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2</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initiale et continue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2 ; conditions individuelles</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Programme de santé communautaire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Appuyer le rôle des agents dans le suivi des femmes référées et après l'accouchement, et reconnaître les outils de suivi créés localement</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7</w:t>
            </w:r>
          </w:p>
        </w:tc>
      </w:tr>
    </w:tbl>
    <w:p>
      <w:pPr>
        <w:spacing w:after="200" w:before="60"/>
        <w:rPr>
          <w:sz w:val="22"/>
          <w:szCs w:val="22"/>
        </w:rPr>
      </w:pPr>
      <w:r>
        <w:rPr>
          <w:i/>
          <w:iCs/>
          <w:sz w:val="22"/>
          <w:szCs w:val="22"/>
        </w:rPr>
        <w:t xml:space="preserve">Source : chapitre 6 du mémoire.</w:t>
      </w:r>
    </w:p>
    <w:p>
      <w:pPr>
        <w:pStyle w:val="Heading1"/>
        <w:spacing w:after="160" w:before="280"/>
      </w:pPr>
      <w:r>
        <w:t xml:space="preserve">7. LIMITES</w:t>
      </w:r>
    </w:p>
    <w:p>
      <w:pPr>
        <w:spacing w:after="140"/>
        <w:jc w:val="both"/>
      </w:pPr>
      <w:r>
        <w:rPr>
          <w:i w:val="false"/>
          <w:iCs w:val="false"/>
        </w:rPr>
        <w:t xml:space="preserve">Les résultats portent sur des perceptions et des pratiques déclarées ; le point de vue des femmes n'a pas été recueilli. L'observation, d'une demi-journée par centre, est exposée à un effet de la présence de l'observateur. Les données de routine, de qualité limitée</w:t>
      </w:r>
      <w:r>
        <w:rPr/>
        <w:t xml:space="preserve"> [69]</w:t>
      </w:r>
      <w:r>
        <w:rPr>
          <w:i w:val="false"/>
          <w:iCs w:val="false"/>
        </w:rPr>
        <w:t xml:space="preserve">, ne servent qu'à décrire le contexte. L'étude porte sur un seul district : ses résultats ne se généralisent pas, mais la description du contexte permet d'apprécier leur transférabilité.</w:t>
      </w:r>
    </w:p>
    <w:p>
      <w:pPr>
        <w:pStyle w:val="Heading1"/>
        <w:spacing w:after="160" w:before="280"/>
      </w:pPr>
      <w:r>
        <w:t xml:space="preserve">8. CONCLUSION</w:t>
      </w:r>
    </w:p>
    <w:p>
      <w:pPr>
        <w:spacing w:after="140"/>
        <w:jc w:val="both"/>
      </w:pPr>
      <w:r>
        <w:rPr>
          <w:i w:val="false"/>
          <w:iCs w:val="false"/>
        </w:rPr>
        <w:t xml:space="preserve">Le dépistage de l'hypertension et du diabète en CPN est accepté par les professionnels comme relevant de leur mandat, mais il n'est réalisé qu'à moitié : la tension est mesurée, la glycémie dépend d'un circuit qui n'est ouvert à la femme enceinte que dans 5 centres sur 15, sur des signes d'appel et à ses frais. Inscrire la glycémie dans le paquet de soins de la CPN, sans frais pour la femme, compter les actes de dépistage et leur suite, et soutenir la pratique informative sont les trois leviers qui ressortent de l'étude.</w:t>
      </w:r>
    </w:p>
    <w:p>
      <w:pPr>
        <w:pStyle w:val="Heading1"/>
        <w:spacing w:after="160" w:before="280"/>
      </w:pPr>
      <w:r>
        <w:t xml:space="preserve">RÉFÉRENCES CITÉES</w:t>
      </w:r>
    </w:p>
    <w:p>
      <w:pPr>
        <w:spacing w:after="140"/>
        <w:jc w:val="both"/>
      </w:pPr>
      <w:r>
        <w:rPr>
          <w:i w:val="false"/>
          <w:iCs w:val="false"/>
        </w:rPr>
        <w:t xml:space="preserve">Numérotation de la bibliographie du mémoire complet.</w:t>
      </w:r>
    </w:p>
    <w:p>
      <w:pPr>
        <w:spacing w:after="80" w:line="240" w:lineRule="auto"/>
        <w:ind w:left="567" w:hanging="567"/>
        <w:jc w:val="left"/>
        <w:rPr>
          <w:sz w:val="24"/>
          <w:szCs w:val="24"/>
        </w:rPr>
      </w:pPr>
      <w:r>
        <w:rPr>
          <w:sz w:val="24"/>
          <w:szCs w:val="24"/>
        </w:rPr>
        <w:t xml:space="preserve">11.	World Health Organization. WHO recommendations on antenatal care for a positive pregnancy experience. Geneva: WHO; 2016.</w:t>
      </w:r>
    </w:p>
    <w:p>
      <w:pPr>
        <w:spacing w:after="80" w:line="240" w:lineRule="auto"/>
        <w:ind w:left="567" w:hanging="567"/>
        <w:jc w:val="left"/>
        <w:rPr>
          <w:sz w:val="24"/>
          <w:szCs w:val="24"/>
        </w:rPr>
      </w:pPr>
      <w:r>
        <w:rPr>
          <w:sz w:val="24"/>
          <w:szCs w:val="24"/>
        </w:rPr>
        <w:t xml:space="preserve">14.	World Health Organization. WHO package of essential noncommunicable (PEN) disease interventions for primary health care. Geneva: WHO; 2020.</w:t>
      </w:r>
    </w:p>
    <w:p>
      <w:pPr>
        <w:spacing w:after="80" w:line="240" w:lineRule="auto"/>
        <w:ind w:left="567" w:hanging="567"/>
        <w:jc w:val="left"/>
        <w:rPr>
          <w:sz w:val="24"/>
          <w:szCs w:val="24"/>
        </w:rPr>
      </w:pPr>
      <w:r>
        <w:rPr>
          <w:sz w:val="24"/>
          <w:szCs w:val="24"/>
        </w:rPr>
        <w:t xml:space="preserve">16.	Rwanda Biomedical Centre, Ministry of Health, World Health Organization. Rwanda non-communicable diseases risk factors report: STEPS survey 2022. Kigali: Rwanda Biomedical Centre; 2023.</w:t>
      </w:r>
    </w:p>
    <w:p>
      <w:pPr>
        <w:spacing w:after="80" w:line="240" w:lineRule="auto"/>
        <w:ind w:left="567" w:hanging="567"/>
        <w:jc w:val="left"/>
        <w:rPr>
          <w:sz w:val="24"/>
          <w:szCs w:val="24"/>
        </w:rPr>
      </w:pPr>
      <w:r>
        <w:rPr>
          <w:sz w:val="24"/>
          <w:szCs w:val="24"/>
        </w:rPr>
        <w:t xml:space="preserve">23.	World Health Organization. Ottawa Charter for Health Promotion. Geneva: WHO; 1986.</w:t>
      </w:r>
    </w:p>
    <w:p>
      <w:pPr>
        <w:spacing w:after="80" w:line="240" w:lineRule="auto"/>
        <w:ind w:left="567" w:hanging="567"/>
        <w:jc w:val="left"/>
        <w:rPr>
          <w:sz w:val="24"/>
          <w:szCs w:val="24"/>
        </w:rPr>
      </w:pPr>
      <w:r>
        <w:rPr>
          <w:sz w:val="24"/>
          <w:szCs w:val="24"/>
        </w:rPr>
        <w:t xml:space="preserve">27.	Meharry PM, Tengera O, Rulisa S, Byambu AK, Nietert PJ, Byiringiro S, et al. Prevalence of gestational diabetes mellitus among women attending antenatal care at public health centers in Rwanda. Diabetes Res Clin Pract. 2019;151:252-9.</w:t>
      </w:r>
    </w:p>
    <w:p>
      <w:pPr>
        <w:spacing w:after="80" w:line="240" w:lineRule="auto"/>
        <w:ind w:left="567" w:hanging="567"/>
        <w:jc w:val="left"/>
        <w:rPr>
          <w:sz w:val="24"/>
          <w:szCs w:val="24"/>
        </w:rPr>
      </w:pPr>
      <w:r>
        <w:rPr>
          <w:sz w:val="24"/>
          <w:szCs w:val="24"/>
        </w:rPr>
        <w:t xml:space="preserve">59.	National Institute of Statistics of Rwanda. EICV7 — main indicators report 2023/24. Kigali: NISR; 2025.</w:t>
      </w:r>
    </w:p>
    <w:p>
      <w:pPr>
        <w:spacing w:after="80" w:line="240" w:lineRule="auto"/>
        <w:ind w:left="567" w:hanging="567"/>
        <w:jc w:val="left"/>
        <w:rPr>
          <w:sz w:val="24"/>
          <w:szCs w:val="24"/>
        </w:rPr>
      </w:pPr>
      <w:r>
        <w:rPr>
          <w:sz w:val="24"/>
          <w:szCs w:val="24"/>
        </w:rPr>
        <w:t xml:space="preserve">61.	Harerimana, Jean de Dieu. « Health insurance and the distribution of healthcare use in Rwanda’s Vision Umurenge Programme: evidence from the Seventh Integrated Household Living Conditions Survey ». Global Health Action, vol. 19, no 1, 2026, article 2641401. https://doi.org/10.1080/16549716.2026.2641401.</w:t>
      </w:r>
    </w:p>
    <w:p>
      <w:pPr>
        <w:spacing w:after="80" w:line="240" w:lineRule="auto"/>
        <w:ind w:left="567" w:hanging="567"/>
        <w:jc w:val="left"/>
        <w:rPr>
          <w:sz w:val="24"/>
          <w:szCs w:val="24"/>
        </w:rPr>
      </w:pPr>
      <w:r>
        <w:rPr>
          <w:sz w:val="24"/>
          <w:szCs w:val="24"/>
        </w:rPr>
        <w:t xml:space="preserve">62.	Mukangendo M, Nzayirambaho M, Hitimana R, Yamuragiye A. Factors contributing to low adherence to community-based health insurance in rural Nyanza District, Southern Rwanda. Journal of Environmental and Public Health. 2018;2018:2624591. doi:10.1155/2018/2624591. PMID: 30662470; PMCID: PMC6312613.</w:t>
      </w:r>
    </w:p>
    <w:p>
      <w:pPr>
        <w:spacing w:after="80" w:line="240" w:lineRule="auto"/>
        <w:ind w:left="567" w:hanging="567"/>
        <w:jc w:val="left"/>
        <w:rPr>
          <w:sz w:val="24"/>
          <w:szCs w:val="24"/>
        </w:rPr>
      </w:pPr>
      <w:r>
        <w:rPr>
          <w:sz w:val="24"/>
          <w:szCs w:val="24"/>
        </w:rPr>
        <w:t xml:space="preserve">69.	Nshimyiryo A, Kirk CM, Sauer SM, Ntawuyirusha E, Muhire A, Sayinzoga F, Hedt-Gauthier B. Health management information system (HMIS) data verification: a case study in four districts in Rwanda. PLoS ONE. 2020;15(7):e0235823. doi:10.1371/journal.pone.0235823.</w:t>
      </w:r>
    </w:p>
    <w:p>
      <w:r>
        <w:br w:type="page"/>
      </w:r>
    </w:p>
    <w:tbl>
      <w:tblPr>
        <w:tblW w:type="dxa" w:w="8787"/>
        <w:tblBorders>
          <w:top w:val="single" w:color="C0392B" w:sz="10"/>
          <w:left w:val="single" w:color="C0392B" w:sz="10"/>
          <w:bottom w:val="single" w:color="C0392B" w:sz="10"/>
          <w:right w:val="single" w:color="C0392B" w:sz="10"/>
          <w:insideH w:val="single" w:color="auto" w:sz="4"/>
          <w:insideV w:val="single" w:color="auto" w:sz="4"/>
        </w:tblBorders>
      </w:tblPr>
      <w:tblGrid>
        <w:gridCol w:w="8787"/>
      </w:tblGrid>
      <w:tr>
        <w:tc>
          <w:tcPr>
            <w:tcW w:type="dxa" w:w="8787"/>
            <w:shd w:fill="FDEDEC" w:color="auto" w:val="clear"/>
            <w:tcMar>
              <w:top w:type="dxa" w:w="120"/>
              <w:left w:type="dxa" w:w="160"/>
              <w:bottom w:type="dxa" w:w="120"/>
              <w:right w:type="dxa" w:w="160"/>
            </w:tcMar>
          </w:tcPr>
          <w:p>
            <w:pPr>
              <w:spacing w:before="40" w:after="40" w:line="240" w:lineRule="auto"/>
              <w:jc w:val="left"/>
              <w:rPr>
                <w:sz w:val="22"/>
                <w:szCs w:val="22"/>
              </w:rPr>
            </w:pPr>
            <w:r>
              <w:rPr>
                <w:b/>
                <w:bCs/>
                <w:color w:val="C0392B"/>
                <w:sz w:val="22"/>
                <w:szCs w:val="22"/>
              </w:rPr>
              <w:t xml:space="preserve">PAGE D'EXERCICE — À RETIRER</w:t>
            </w:r>
          </w:p>
          <w:p>
            <w:pPr>
              <w:spacing w:before="40" w:after="40" w:line="240" w:lineRule="auto"/>
              <w:jc w:val="left"/>
              <w:rPr>
                <w:sz w:val="22"/>
                <w:szCs w:val="22"/>
              </w:rPr>
            </w:pPr>
            <w:r>
              <w:rPr>
                <w:sz w:val="22"/>
                <w:szCs w:val="22"/>
              </w:rPr>
              <w:t xml:space="preserve">Exercice de formation : les entretiens, observations et données de routine de ce document sont simulés. Aucun résultat ne décrit le district de Ngoma. Avec les données réelles, tout est à refaire à partir du dossier vierge (kit-donnees-reelles).</w:t>
            </w:r>
          </w:p>
        </w:tc>
      </w:tr>
    </w:tbl>
    <w:p/>
    <w:p>
      <w:pPr>
        <w:pStyle w:val="Heading2"/>
        <w:spacing w:after="120" w:before="220"/>
      </w:pPr>
      <w:r>
        <w:t xml:space="preserve">Ce qui reste à compléter</w:t>
      </w:r>
    </w:p>
    <w:p>
      <w:pPr>
        <w:pStyle w:val="ListParagraph"/>
        <w:numPr>
          <w:ilvl w:val="0"/>
          <w:numId w:val="1"/>
        </w:numPr>
        <w:spacing w:after="80"/>
      </w:pPr>
      <w:r>
        <w:rPr/>
        <w:t xml:space="preserve">Liste du personnel de l'École : à recopier depuis la liste officielle de l'ENATSE de l'année du dépôt.</w:t>
      </w:r>
    </w:p>
    <w:p>
      <w:pPr>
        <w:pStyle w:val="ListParagraph"/>
        <w:numPr>
          <w:ilvl w:val="0"/>
          <w:numId w:val="1"/>
        </w:numPr>
        <w:spacing w:after="80"/>
      </w:pPr>
      <w:r>
        <w:rPr/>
        <w:t xml:space="preserve">Dédicace, et hommages aux membres du jury : à écrire soi-même ; les noms du jury ne sont connus qu'après sa désignation.</w:t>
      </w:r>
    </w:p>
    <w:p>
      <w:pPr>
        <w:pStyle w:val="ListParagraph"/>
        <w:numPr>
          <w:ilvl w:val="0"/>
          <w:numId w:val="1"/>
        </w:numPr>
        <w:spacing w:after="80"/>
      </w:pPr>
      <w:r>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t xml:space="preserve">Annexe 5 : versions kinyarwanda et anglaise des outils issues de la traduction et de la rétro-traduction.</w:t>
      </w:r>
    </w:p>
    <w:p>
      <w:pPr>
        <w:pStyle w:val="ListParagraph"/>
        <w:numPr>
          <w:ilvl w:val="0"/>
          <w:numId w:val="1"/>
        </w:numPr>
        <w:spacing w:after="80"/>
      </w:pPr>
      <w:r>
        <w:rPr/>
        <w:t xml:space="preserve">Note de positionnalité : la question laissée entre crochets (exercice antérieur dans le district de Ngoma).</w:t>
      </w:r>
    </w:p>
    <w:p>
      <w:pPr>
        <w:pStyle w:val="ListParagraph"/>
        <w:numPr>
          <w:ilvl w:val="0"/>
          <w:numId w:val="1"/>
        </w:numPr>
        <w:spacing w:after="80"/>
      </w:pPr>
      <w:r>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t xml:space="preserve">Figure 2 (carte du district de Ngoma) : la source n'est pas indiquée dans le protocole ; l'ajouter sous la figure.</w:t>
      </w:r>
    </w:p>
    <w:p>
      <w:pPr>
        <w:pStyle w:val="ListParagraph"/>
        <w:numPr>
          <w:ilvl w:val="0"/>
          <w:numId w:val="1"/>
        </w:numPr>
        <w:spacing w:after="80"/>
      </w:pPr>
      <w:r>
        <w:rPr/>
        <w:t xml:space="preserve">Annexe 1 (guide d'entretien) : la numérotation passe de la section 5 à la section 7 dans le protocole ; corriger ou expliquer.</w:t>
      </w:r>
    </w:p>
    <w:p>
      <w:pPr>
        <w:pStyle w:val="ListParagraph"/>
        <w:numPr>
          <w:ilvl w:val="0"/>
          <w:numId w:val="1"/>
        </w:numPr>
        <w:spacing w:after="80"/>
      </w:pPr>
      <w:r>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t xml:space="preserve">Glycémie hors du paquet de soins de la CPN et payée par la femme : vérifier dans les documents du Ministère de la Santé (paquet de la CPN, tarification des centres de santé, couverture de la mutuelle) avant de l'écrire comme un fait dans le mémoire réel.</w:t>
      </w:r>
    </w:p>
    <w:p>
      <w:pPr>
        <w:pStyle w:val="ListParagraph"/>
        <w:numPr>
          <w:ilvl w:val="0"/>
          <w:numId w:val="1"/>
        </w:numPr>
        <w:spacing w:after="80"/>
      </w:pPr>
      <w:r>
        <w:rPr/>
        <w:t xml:space="preserve">Mise en forme appliquée (Times New Roman 14, interligne 1,5, marges de 2,5 cm et 3 cm à gauche) : à confronter au document des règles de rédaction de l'ENATSE.</w:t>
      </w:r>
    </w:p>
    <w:p>
      <w:pPr>
        <w:pStyle w:val="ListParagraph"/>
        <w:numPr>
          <w:ilvl w:val="0"/>
          <w:numId w:val="1"/>
        </w:numPr>
        <w:spacing w:after="80"/>
      </w:pPr>
      <w:r>
        <w:rPr/>
        <w:t xml:space="preserve">Références 72 à 79, ajoutées pendant la rédaction de la discussion : vérifier chacune dans sa source (auteurs, année, volume, pages) avant de la conserver.</w:t>
      </w:r>
    </w:p>
    <w:p>
      <w:pPr>
        <w:pStyle w:val="ListParagraph"/>
        <w:numPr>
          <w:ilvl w:val="0"/>
          <w:numId w:val="1"/>
        </w:numPr>
        <w:spacing w:after="80"/>
      </w:pPr>
      <w:r>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t xml:space="preserve">Écart au protocole (QualiCode au lieu de NVivo, § 4.2.6) : à faire valider par la direction de mémoire.</w:t>
      </w:r>
    </w:p>
    <w:p>
      <w:pPr>
        <w:pStyle w:val="ListParagraph"/>
        <w:numPr>
          <w:ilvl w:val="0"/>
          <w:numId w:val="1"/>
        </w:numPr>
        <w:spacing w:after="80"/>
      </w:pPr>
      <w:r>
        <w:rPr/>
        <w:t xml:space="preserve">Dans Word : mettre à jour le sommaire et la table des matières (clic droit → Mettre à jour les champs, ou Ctrl+A puis F9).</w:t>
      </w:r>
    </w:p>
    <w:sectPr>
      <w:footerReference w:type="default" r:id="rId6"/>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Ngoma — exercice de formation, données simulées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jc w:val="left"/>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jc w:val="left"/>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jc w:val="left"/>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2026-10-02T10:14:07.839Z</dcterms:created>
  <dcterms:modified xsi:type="dcterms:W3CDTF">2026-10-02T10:14:07.839Z</dcterms:modified>
</cp:coreProperties>
</file>

<file path=docProps/custom.xml><?xml version="1.0" encoding="utf-8"?>
<Properties xmlns="http://schemas.openxmlformats.org/officeDocument/2006/custom-properties" xmlns:vt="http://schemas.openxmlformats.org/officeDocument/2006/docPropsVTypes"/>
</file>