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14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Annexe 1 (guide d'entretien) : la numérotation passe de la section 5 à la section 7 dans le protocole ; corriger ou expliquer.</w:t>
      </w:r>
    </w:p>
    <w:p>
      <w:pPr>
        <w:pStyle w:val="ListParagraph"/>
        <w:numPr>
          <w:ilvl w:val="0"/>
          <w:numId w:val="1"/>
        </w:numPr>
        <w:spacing w:after="80"/>
      </w:pPr>
      <w:r>
        <w:rPr>
          <w:sz w:val="22"/>
          <w:szCs w:val="22"/>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sz w:val="22"/>
          <w:szCs w:val="22"/>
        </w:rPr>
        <w:t xml:space="preserve">Glycémie à la première CPN pour toutes : appuyée sur Schmidt et al. (2021, texte intégral : le diabète fait partie des affections recherchées chez toutes à la première CPN et cochées au registre de maternité) ; absence de dépistage à 24-28 semaines : appuyée sur le protocole de 2012 cité par Meharry (2019). Confirmer dans les directives nationales de CPN (RBC, 2021) le contenu exact du bilan de la première CPN avant de l'écrire comme un fait dans le mémoire réel.</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et les citations longues en retrait (12 pt, interligne simple) font exception : à confronter au document des règles de rédaction de l'ENATSE.</w:t>
      </w:r>
    </w:p>
    <w:p>
      <w:pPr>
        <w:pStyle w:val="ListParagraph"/>
        <w:numPr>
          <w:ilvl w:val="0"/>
          <w:numId w:val="1"/>
        </w:numPr>
        <w:spacing w:after="80"/>
      </w:pPr>
      <w:r>
        <w:rPr>
          <w:sz w:val="22"/>
          <w:szCs w:val="22"/>
        </w:rPr>
        <w:t xml:space="preserve">Limite de 70 pages : le corps du mémoire (de l'introduction à la conclusion) compte 45 pages ; le document entier, de la page de garde à l'abstract, en compte 85 depuis que les références et les annexes sont en 14 pt à interligne 1,5. Vérifier si la limite de l'ENATSE porte sur le corps du texte ou sur le document entier. Pour tenir le corps court, 31 paragraphes des chapitres 1 à 4 du protocole ne sont pas repris (liste CONDENSATION dans faire-memoire.mjs), les méthodes telles que conduites (§ 4.2.5 à 4.2.7) sont résumées et le tableau de cohérence (annexe 8 du protocole) n'est pas reproduit : à valider avec la direction de mémoire.</w:t>
      </w:r>
    </w:p>
    <w:p>
      <w:pPr>
        <w:pStyle w:val="ListParagraph"/>
        <w:numPr>
          <w:ilvl w:val="0"/>
          <w:numId w:val="1"/>
        </w:numPr>
        <w:spacing w:after="80"/>
      </w:pPr>
      <w:r>
        <w:rPr>
          <w:sz w:val="22"/>
          <w:szCs w:val="22"/>
        </w:rPr>
        <w:t xml:space="preserve">Entretiens sans enregistrement audio : le § 4.2.6 du mémoire décrit la prise de notes ; les annexes du protocole reprises dans le mémoire (guide d'entretien, formulaire de consentement avec la case « enregistrement audio », engagement de confidentialité du transcripteur) restent à adapter, ainsi que le mémo QualiCode sur la fidélité des transcriptions.</w:t>
      </w:r>
    </w:p>
    <w:p>
      <w:pPr>
        <w:pStyle w:val="ListParagraph"/>
        <w:numPr>
          <w:ilvl w:val="0"/>
          <w:numId w:val="1"/>
        </w:numPr>
        <w:spacing w:after="80"/>
      </w:pPr>
      <w:r>
        <w:rPr>
          <w:sz w:val="22"/>
          <w:szCs w:val="22"/>
        </w:rPr>
        <w:t xml:space="preserve">Rubrique « Séance d'éducation collective » ajoutée à la grille d'observation (annexe 2) : écart au protocole à faire valider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72 à 92,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Écart au protocole (QualiCode au lieu de NVivo, § 4.2.6) : à faire valider par la direction de mémoire.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60" w:line="36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2026-10-03T03:53:34.202Z</dcterms:created>
  <dcterms:modified xsi:type="dcterms:W3CDTF">2026-10-03T03:53:34.202Z</dcterms:modified>
</cp:coreProperties>
</file>

<file path=docProps/custom.xml><?xml version="1.0" encoding="utf-8"?>
<Properties xmlns="http://schemas.openxmlformats.org/officeDocument/2006/custom-properties" xmlns:vt="http://schemas.openxmlformats.org/officeDocument/2006/docPropsVTypes"/>
</file>