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14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0,869) et recodage intra-codeur à quatre semaines (κ = 0,958),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pPr>
      <w:r>
        <w:rPr>
          <w:b/>
          <w:bCs/>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 elle seule a permis de situer le glucomètre.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relève du programme des maladies non transmissibles, la CPN de la santé maternelle : sans organisation de ce partage, la femme enceinte reste hors du circuit du glucomètre, comme le suggère le caractère non systématique du dépistage au niveau national</w:t>
      </w:r>
      <w:r>
        <w:rPr/>
        <w:t xml:space="preserve"> [5]</w:t>
      </w:r>
      <w:r>
        <w:rPr>
          <w:i w:val="false"/>
          <w:iCs w:val="false"/>
        </w:rPr>
        <w:t>.</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(signalement au centre des femmes enceintes dépistées) ; 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et représentations professionnelles ; point de vue des femmes non recueilli ; propos notés sans enregistrement ; effet possible de la présence de l'observateur ; données de routine de qualité limitée ; un seul district, dont la description permet d'apprécier la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réalisé à moitié : la tension est mesurée ; la glycémie, prévue pour toutes à la première CPN, n'est faite que dans 5 centres sur 15 et n'est pas refaite entre 24 et 28 semaines. Trois leviers ressortent : garantir le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36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2026-10-03T03:53:34Z</dcterms:created>
  <dc:creator>Un-named</dc:creator>
  <dc:description/>
  <dc:language>en-US</dc:language>
  <cp:lastModifiedBy>Un-named</cp:lastModifiedBy>
  <dcterms:modified xsi:type="dcterms:W3CDTF">2026-10-03T03:53:34Z</dcterms:modified>
  <cp:revision>1</cp:revision>
  <dc:subject/>
  <dc:title/>
</cp:coreProperties>
</file>