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réunit TOUS les outils de collecte du protocole, renseignés par les données simulées des deux vagues :</w:t>
      </w:r>
    </w:p>
    <w:p>
      <w:pPr>
        <w:spacing w:after="80"/>
        <w:rPr>
          <w:sz w:val="20"/>
          <w:szCs w:val="20"/>
        </w:rPr>
      </w:pPr>
      <w:r>
        <w:rPr>
          <w:sz w:val="20"/>
          <w:szCs w:val="20"/>
        </w:rPr>
        <w:t xml:space="preserve">· Annexe 1 — guide d'entretien : 21 entretiens conduits (index ci-dessous ; transcriptions intégrales dans le document 2)</w:t>
      </w:r>
    </w:p>
    <w:p>
      <w:pPr>
        <w:spacing w:after="80"/>
        <w:rPr>
          <w:sz w:val="20"/>
          <w:szCs w:val="20"/>
        </w:rPr>
      </w:pPr>
      <w:r>
        <w:rPr>
          <w:sz w:val="20"/>
          <w:szCs w:val="20"/>
        </w:rPr>
        <w:t xml:space="preserve">· Annexe 2 — guide d'observation du service : 16 grilles, une par centre de santé</w:t>
      </w:r>
    </w:p>
    <w:p>
      <w:pPr>
        <w:spacing w:after="80"/>
        <w:rPr>
          <w:sz w:val="20"/>
          <w:szCs w:val="20"/>
        </w:rPr>
      </w:pPr>
      <w:r>
        <w:rPr>
          <w:sz w:val="20"/>
          <w:szCs w:val="20"/>
        </w:rPr>
        <w:t xml:space="preserve">· Annexe 3 — fiche de données sociodémographiques et professionnelles : 21 fiches</w:t>
      </w:r>
    </w:p>
    <w:p>
      <w:pPr>
        <w:spacing w:after="80"/>
        <w:rPr>
          <w:sz w:val="20"/>
          <w:szCs w:val="20"/>
        </w:rPr>
      </w:pPr>
      <w:r>
        <w:rPr>
          <w:sz w:val="20"/>
          <w:szCs w:val="20"/>
        </w:rPr>
        <w:t xml:space="preserve">· Annexe 4 — registre de suivi des consentements : 21 participants</w:t>
      </w:r>
    </w:p>
    <w:p>
      <w:pPr>
        <w:spacing w:after="80"/>
        <w:rPr>
          <w:sz w:val="20"/>
          <w:szCs w:val="20"/>
        </w:rPr>
      </w:pPr>
      <w:r>
        <w:rPr>
          <w:sz w:val="20"/>
          <w:szCs w:val="20"/>
        </w:rPr>
        <w:t xml:space="preserve">· Annexe 9 — données de routine du district : 16 centres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sert aussi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Deux vagues simulées : la vague 1 (10 participants, 5 centres) puis la vague 2 (11 participants, les 11 autres centres). Ensemble, elles couvrent les 16 centres de santé du district, dans la fourchette de seize à vingt-quatre participants du § 4.2.3.1.</w:t>
      </w:r>
    </w:p>
    <w:p>
      <w:pPr>
        <w:rPr>
          <w:sz w:val="20"/>
          <w:szCs w:val="20"/>
        </w:rPr>
      </w:pPr>
      <w:r>
        <w:rPr>
          <w:sz w:val="20"/>
          <w:szCs w:val="20"/>
        </w:rPr>
        <w:t xml:space="preserve">Le protocole (§ 4.2.3.2, Tableau II) prescrit un échantillonnage raisonné à variation maximale portant sur sept dimensions. Le tableau de couverture ci-dessous est CALCULÉ à partir des fiches : c'est le contrôle à refaire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800"/>
        <w:gridCol w:w="1250"/>
        <w:gridCol w:w="850"/>
        <w:gridCol w:w="1000"/>
        <w:gridCol w:w="850"/>
        <w:gridCol w:w="900"/>
        <w:gridCol w:w="876"/>
        <w:gridCol w:w="1200"/>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650"/>
            <w:shd w:fill="E8EDF2" w:color="auto" w:val="clear"/>
            <w:tcMar>
              <w:top w:type="dxa" w:w="60"/>
              <w:left w:type="dxa" w:w="100"/>
              <w:bottom w:type="dxa" w:w="60"/>
              <w:right w:type="dxa" w:w="100"/>
            </w:tcMar>
          </w:tcPr>
          <w:p>
            <w:r>
              <w:rPr>
                <w:b/>
                <w:bCs/>
                <w:i w:val="false"/>
                <w:iCs w:val="false"/>
                <w:sz w:val="19"/>
                <w:szCs w:val="19"/>
              </w:rPr>
              <w:t xml:space="preserve">Vague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7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CS16</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 (Tableau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10 infirmiers ou infirmières (P01, P04, P05, P08, P09, P12, P14, P16, P18, P20) · 11 sages-femmes (P02, P03, P06, P07, P10, P11, P13, P15, P17, P19, P21)</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6 titulaires (P01, P05, P09, P12, P16, P21) · 15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6 de 6 mois à 2 ans (P03, P06, P08, P14, P16, P17) · 15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6 urbains (CS01, CS02, CS03, CS06) · 15 ruraux (CS04, CS05, CS07, CS08, CS09, CS10, CS11, CS12, CS13, CS14, CS15, CS16)</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6 proches · 15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7 en volume élevé · 14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15 en secteur de pauvreté plus élevée · 6 en secteur de pauvreté plus faible</w:t>
            </w:r>
          </w:p>
        </w:tc>
      </w:tr>
    </w:tbl>
    <w:p/>
    <w:p>
      <w:pPr>
        <w:rPr>
          <w:i/>
          <w:iCs/>
          <w:sz w:val="20"/>
          <w:szCs w:val="20"/>
        </w:rPr>
      </w:pPr>
      <w:r>
        <w:rPr>
          <w:i/>
          <w:iCs/>
          <w:sz w:val="20"/>
          <w:szCs w:val="20"/>
        </w:rPr>
        <w:t xml:space="preserve">Le protocole ne clôt pas la collecte sur un nombre : la suffisance informationnelle s'argumente dimension par dimension. Le projet QualiCode contient un mémo qui s'y exerce.</w:t>
      </w:r>
    </w:p>
    <w:p>
      <w:r>
        <w:br w:type="page"/>
      </w:r>
    </w:p>
    <w:p>
      <w:pPr>
        <w:pStyle w:val="Heading1"/>
        <w:spacing w:after="160" w:before="280"/>
      </w:pPr>
      <w:r>
        <w:t xml:space="preserve">2. Annexe 1 — Guide d'entretien :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transcrites intégralement, question par question, dans le document 2 (Transcriptions verbatim). Le journal de bord de chaque entretien y précède la transcription.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1150"/>
            <w:tcMar>
              <w:top w:type="dxa" w:w="60"/>
              <w:left w:type="dxa" w:w="100"/>
              <w:bottom w:type="dxa" w:w="60"/>
              <w:right w:type="dxa" w:w="100"/>
            </w:tcMar>
          </w:tcPr>
          <w:p>
            <w:r>
              <w:rPr>
                <w:b w:val="false"/>
                <w:bCs w:val="false"/>
                <w:i w:val="false"/>
                <w:iCs w:val="false"/>
                <w:sz w:val="19"/>
                <w:szCs w:val="19"/>
              </w:rPr>
              <w:t xml:space="preserve">30/09/2026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fonctionnels, un de réserve sous clé</w:t>
            </w:r>
          </w:p>
        </w:tc>
        <w:tc>
          <w:tcPr>
            <w:tcW w:type="dxa" w:w="3026"/>
            <w:tcMar>
              <w:top w:type="dxa" w:w="60"/>
              <w:left w:type="dxa" w:w="100"/>
              <w:bottom w:type="dxa" w:w="60"/>
              <w:right w:type="dxa" w:w="100"/>
            </w:tcMar>
          </w:tcPr>
          <w:p>
            <w:r>
              <w:rPr>
                <w:b w:val="false"/>
                <w:bCs w:val="false"/>
                <w:i w:val="false"/>
                <w:iCs w:val="false"/>
                <w:sz w:val="19"/>
                <w:szCs w:val="19"/>
              </w:rPr>
              <w:t xml:space="preserve">Utilisé à plusieurs reprises pendant la matinée.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48</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Fiche de stock tenue à jour, seuil de réapprovisionnement inscrit.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fonctionnelles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90</w:t>
            </w:r>
          </w:p>
        </w:tc>
        <w:tc>
          <w:tcPr>
            <w:tcW w:type="dxa" w:w="2400"/>
            <w:tcMar>
              <w:top w:type="dxa" w:w="60"/>
              <w:left w:type="dxa" w:w="100"/>
              <w:bottom w:type="dxa" w:w="60"/>
              <w:right w:type="dxa" w:w="100"/>
            </w:tcMar>
          </w:tcPr>
          <w:p>
            <w:r>
              <w:rPr>
                <w:b w:val="false"/>
                <w:bCs w:val="false"/>
                <w:i w:val="false"/>
                <w:iCs w:val="false"/>
                <w:sz w:val="19"/>
                <w:szCs w:val="19"/>
              </w:rPr>
              <w:t xml:space="preserve">péremption 06/2027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les critères de dépistage ciblé.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Colonne glycémie renseignée sur environ une ligne sur trois, ce qui correspond au dépistage ciblé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dépistage glycémique se fait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(test de contrôle effectué par l'équipe le matin)</w:t>
            </w:r>
          </w:p>
        </w:tc>
        <w:tc>
          <w:tcPr>
            <w:tcW w:type="dxa" w:w="3026"/>
            <w:tcMar>
              <w:top w:type="dxa" w:w="60"/>
              <w:left w:type="dxa" w:w="100"/>
              <w:bottom w:type="dxa" w:w="60"/>
              <w:right w:type="dxa" w:w="100"/>
            </w:tcMar>
          </w:tcPr>
          <w:p>
            <w:r>
              <w:rPr>
                <w:b w:val="false"/>
                <w:bCs w:val="false"/>
                <w:i w:val="false"/>
                <w:iCs w:val="false"/>
                <w:sz w:val="19"/>
                <w:szCs w:val="19"/>
              </w:rPr>
              <w:t xml:space="preserve">Non utilisé pendant la demi-journée.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Dernier flacon périmé en mars 2026, conservé dans le tiroir.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08/2027</w:t>
            </w:r>
          </w:p>
        </w:tc>
        <w:tc>
          <w:tcPr>
            <w:tcW w:type="dxa" w:w="30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Aucune colonne glycémie dans le registre en usage.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Stock faible ; l'équipe déclare les réserver aux femmes présentant des facteurs de risque.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60</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complets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Colonne glycémie présente mais renseignée sur une minorité de lignes.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15</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Inutilisable faute de bandelettes valides.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3026"/>
            <w:tcMar>
              <w:top w:type="dxa" w:w="60"/>
              <w:left w:type="dxa" w:w="100"/>
              <w:bottom w:type="dxa" w:w="60"/>
              <w:right w:type="dxa" w:w="100"/>
            </w:tcMar>
          </w:tcPr>
          <w:p>
            <w:r>
              <w:rPr>
                <w:b w:val="false"/>
                <w:bCs w:val="false"/>
                <w:i w:val="false"/>
                <w:iCs w:val="false"/>
                <w:sz w:val="19"/>
                <w:szCs w:val="19"/>
              </w:rPr>
              <w:t xml:space="preserve">Flacons conservés dans l'armoire ; l'équipe dit attendre leur remplacement.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35</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Pas de colonne glycémie.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 appareil dans le centre. L'équipe indique que les glycémies se font à l'hôpital de district.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Sans objet en l'absence d'appareil.</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20</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le constat matériel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22</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agents de santé communautaire passent dans la matinée : l'un apporte la liste des femmes enceintes repérées dans son village, l'autre raccompagne une femme orientée la semaine précédente. L'équipe et les agents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agents de santé communautaire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30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Prévu dans la dotation selon l'équipe, non livré.</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neuve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14</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30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Aucune depuis environ quatre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 usé</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8</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partiellement</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En rupture depuis environ deux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18</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NON fonctionnel — message d'erreur persistant</w:t>
            </w:r>
          </w:p>
        </w:tc>
        <w:tc>
          <w:tcPr>
            <w:tcW w:type="dxa" w:w="30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25</w:t>
            </w:r>
          </w:p>
        </w:tc>
        <w:tc>
          <w:tcPr>
            <w:tcW w:type="dxa" w:w="2400"/>
            <w:tcMar>
              <w:top w:type="dxa" w:w="60"/>
              <w:left w:type="dxa" w:w="100"/>
              <w:bottom w:type="dxa" w:w="60"/>
              <w:right w:type="dxa" w:w="100"/>
            </w:tcMar>
          </w:tcPr>
          <w:p>
            <w:r>
              <w:rPr>
                <w:b w:val="false"/>
                <w:bCs w:val="false"/>
                <w:i w:val="false"/>
                <w:iCs w:val="false"/>
                <w:sz w:val="19"/>
                <w:szCs w:val="19"/>
              </w:rPr>
              <w:t xml:space="preserve">péremption 10/2026</w:t>
            </w:r>
          </w:p>
        </w:tc>
        <w:tc>
          <w:tcPr>
            <w:tcW w:type="dxa" w:w="30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30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10</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p>
      <w:r>
        <w:br w:type="page"/>
      </w:r>
    </w:p>
    <w:p/>
    <w:p>
      <w:pPr>
        <w:pStyle w:val="Heading2"/>
        <w:spacing w:after="120" w:before="220"/>
      </w:pPr>
      <w:r>
        <w:t xml:space="preserve">Centre CS16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électricité fournie par un panneau solaire, éclairage limité par temps couvert.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sur piles, fonctionnel ce jour-là</w:t>
            </w:r>
          </w:p>
        </w:tc>
        <w:tc>
          <w:tcPr>
            <w:tcW w:type="dxa" w:w="3026"/>
            <w:tcMar>
              <w:top w:type="dxa" w:w="60"/>
              <w:left w:type="dxa" w:w="100"/>
              <w:bottom w:type="dxa" w:w="60"/>
              <w:right w:type="dxa" w:w="100"/>
            </w:tcMar>
          </w:tcPr>
          <w:p>
            <w:r>
              <w:rPr>
                <w:b w:val="false"/>
                <w:bCs w:val="false"/>
                <w:i w:val="false"/>
                <w:iCs w:val="false"/>
                <w:sz w:val="19"/>
                <w:szCs w:val="19"/>
              </w:rPr>
              <w:t xml:space="preserve">L'équipe indique que les piles manquent régulièrement et qu'elle en achète parfois elle-même.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piles du tensiomètre, de façon répétée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Complété par un CAHIER DE SUIVI APRÈS L'ACCOUCHEMENT, créé par la titulaire, où sont notées les femmes dépistées avec une tension élevée pendant la grossesse.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et suivi après l'accouchement tracé dans le cahier dédié</w:t>
            </w:r>
          </w:p>
        </w:tc>
      </w:tr>
    </w:tbl>
    <w:p/>
    <w:p>
      <w:pPr>
        <w:pStyle w:val="Heading3"/>
        <w:spacing w:after="100" w:before="180"/>
      </w:pPr>
      <w:r>
        <w:t xml:space="preserve">E. Notes contextuelles libres</w:t>
      </w:r>
    </w:p>
    <w:p>
      <w:pPr>
        <w:rPr>
          <w:sz w:val="20"/>
          <w:szCs w:val="20"/>
        </w:rPr>
      </w:pPr>
      <w:r>
        <w:rPr>
          <w:sz w:val="20"/>
          <w:szCs w:val="20"/>
        </w:rPr>
        <w:t xml:space="preserve">Centre le plus éloigné du district. Un agent de santé communautaire vient signaler une femme enceinte qui n'est pas revenue ; la titulaire lui demande de lui rappeler son rendez-vous. Le cahier de suivi après l'accouchement compte une douzaine de noms — consulté par l'observateur sans relevé nominatif.</w:t>
      </w:r>
    </w:p>
    <w:p/>
    <w:p>
      <w:pPr>
        <w:pStyle w:val="Heading3"/>
        <w:spacing w:after="100" w:before="180"/>
      </w:pPr>
      <w:r>
        <w:t xml:space="preserve">F. Réflexivité</w:t>
      </w:r>
    </w:p>
    <w:p>
      <w:pPr>
        <w:rPr>
          <w:sz w:val="20"/>
          <w:szCs w:val="20"/>
        </w:rPr>
      </w:pPr>
      <w:r>
        <w:rPr>
          <w:sz w:val="20"/>
          <w:szCs w:val="20"/>
        </w:rPr>
        <w:t xml:space="preserve">Le cahier de suivi après l'accouchement répond exactement à la « discontinuité après l'accouchement » que plusieurs participants de la vague 1 avaient soulevée sans qu'aucun ne décrive de réponse. Il est l'œuvre d'une personne : fragile, non prévu par le système, et pourtant le seul dispositif de ce type observé dans le district.</w:t>
      </w:r>
    </w:p>
    <w:p>
      <w:r>
        <w:br w:type="page"/>
      </w:r>
    </w:p>
    <w:p>
      <w:pPr>
        <w:pStyle w:val="Heading1"/>
        <w:spacing w:after="160" w:before="280"/>
      </w:pPr>
      <w:r>
        <w:t xml:space="preserve">4.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p/>
    <w:p>
      <w:pPr>
        <w:pStyle w:val="Heading3"/>
        <w:spacing w:after="100" w:before="180"/>
      </w:pPr>
      <w:r>
        <w:t xml:space="preserve">Fiche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P21 / CS16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30/09/2026 — 52 min</w:t>
            </w:r>
          </w:p>
        </w:tc>
      </w:tr>
    </w:tbl>
    <w:p>
      <w:r>
        <w:br w:type="page"/>
      </w:r>
    </w:p>
    <w:p>
      <w:pPr>
        <w:pStyle w:val="Heading1"/>
        <w:spacing w:after="160" w:before="280"/>
      </w:pPr>
      <w:r>
        <w:t xml:space="preserve">5. Annexe 4 — Registre de suivi des consentements</w:t>
      </w:r>
    </w:p>
    <w:p>
      <w:pPr>
        <w:rPr>
          <w:sz w:val="20"/>
          <w:szCs w:val="20"/>
        </w:rPr>
      </w:pPr>
      <w:r>
        <w:rPr>
          <w:sz w:val="20"/>
          <w:szCs w:val="20"/>
        </w:rPr>
        <w:t xml:space="preserve">Le formulaire d'information et de consentement (annexe 4) est remis en deux exemplaires et signé par chaque participant. Le § 4.2.7 prévoit que l'enregistrement et la citation d'extraits font l'objet d'accords DISTINCTS : ce registre les suit un par un, pour que l'analyse puisse en tenir compte.</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Aucune signature n'est simulée — et aucune ne doit l'être</w:t>
            </w:r>
          </w:p>
          <w:p>
            <w:r>
              <w:rPr>
                <w:sz w:val="19"/>
                <w:szCs w:val="19"/>
              </w:rPr>
              <w:t xml:space="preserve">Un formulaire de consentement signé est une pièce du dossier éthique. En fabriquer un, même pour s'exercer, produirait exactement le document qui ne doit jamais exister. Ce registre ne fait que suivre les accords ; les formulaires signés seront recueillis sur le terrain, en deux exemplaires.</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500"/>
        <w:gridCol w:w="1250"/>
        <w:gridCol w:w="127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Recontact (vérification)</w:t>
            </w:r>
          </w:p>
        </w:tc>
        <w:tc>
          <w:tcPr>
            <w:tcW w:type="dxa" w:w="1276"/>
            <w:shd w:fill="E8EDF2" w:color="auto" w:val="clear"/>
            <w:tcMar>
              <w:top w:type="dxa" w:w="60"/>
              <w:left w:type="dxa" w:w="100"/>
              <w:bottom w:type="dxa" w:w="60"/>
              <w:right w:type="dxa" w:w="100"/>
            </w:tcMar>
          </w:tcPr>
          <w:p>
            <w:r>
              <w:rPr>
                <w:b/>
                <w:bCs/>
                <w:i w:val="false"/>
                <w:iCs w:val="false"/>
                <w:sz w:val="19"/>
                <w:szCs w:val="19"/>
              </w:rPr>
              <w:t xml:space="preserve">Signature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28/09/2026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 sans élément identifiant le centre</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29/09/2026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30/09/2026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P05</w:t>
            </w:r>
          </w:p>
        </w:tc>
        <w:tc>
          <w:tcPr>
            <w:tcW w:type="dxa" w:w="8026"/>
            <w:tcMar>
              <w:top w:type="dxa" w:w="60"/>
              <w:left w:type="dxa" w:w="100"/>
              <w:bottom w:type="dxa" w:w="60"/>
              <w:right w:type="dxa" w:w="100"/>
            </w:tcMar>
          </w:tcPr>
          <w:p>
            <w:r>
              <w:rPr>
                <w:b w:val="false"/>
                <w:bCs w:val="false"/>
                <w:i w:val="false"/>
                <w:iCs w:val="false"/>
                <w:sz w:val="19"/>
                <w:szCs w:val="19"/>
              </w:rPr>
              <w:t xml:space="preserve">Accepte l'entretien et l'enregistrement ; refuse la citation d'extraits. Ses propos peuvent être analysés et rapportés de manière agrégée, jamais cités.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P08</w:t>
            </w:r>
          </w:p>
        </w:tc>
        <w:tc>
          <w:tcPr>
            <w:tcW w:type="dxa" w:w="8026"/>
            <w:tcMar>
              <w:top w:type="dxa" w:w="60"/>
              <w:left w:type="dxa" w:w="100"/>
              <w:bottom w:type="dxa" w:w="60"/>
              <w:right w:type="dxa" w:w="100"/>
            </w:tcMar>
          </w:tcPr>
          <w:p>
            <w:r>
              <w:rPr>
                <w:b w:val="false"/>
                <w:bCs w:val="false"/>
                <w:i w:val="false"/>
                <w:iCs w:val="false"/>
                <w:sz w:val="19"/>
                <w:szCs w:val="19"/>
              </w:rPr>
              <w:t xml:space="preserve">Ne souhaite pas être recontacté pour la vérification des interprétations.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P19</w:t>
            </w:r>
          </w:p>
        </w:tc>
        <w:tc>
          <w:tcPr>
            <w:tcW w:type="dxa" w:w="8026"/>
            <w:tcMar>
              <w:top w:type="dxa" w:w="60"/>
              <w:left w:type="dxa" w:w="100"/>
              <w:bottom w:type="dxa" w:w="60"/>
              <w:right w:type="dxa" w:w="100"/>
            </w:tcMar>
          </w:tcPr>
          <w:p>
            <w:r>
              <w:rPr>
                <w:b w:val="false"/>
                <w:bCs w:val="false"/>
                <w:i w:val="false"/>
                <w:iCs w:val="false"/>
                <w:sz w:val="19"/>
                <w:szCs w:val="19"/>
              </w:rPr>
              <w:t xml:space="preserve">Citation acceptée sous condition : aucun extrait ne doit être associé au code de structure, ni contenir d'élément permettant d'identifier le centre.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P20</w:t>
            </w:r>
          </w:p>
        </w:tc>
        <w:tc>
          <w:tcPr>
            <w:tcW w:type="dxa" w:w="8026"/>
            <w:tcMar>
              <w:top w:type="dxa" w:w="60"/>
              <w:left w:type="dxa" w:w="100"/>
              <w:bottom w:type="dxa" w:w="60"/>
              <w:right w:type="dxa" w:w="100"/>
            </w:tcMar>
          </w:tcPr>
          <w:p>
            <w:r>
              <w:rPr>
                <w:b w:val="false"/>
                <w:bCs w:val="false"/>
                <w:i w:val="false"/>
                <w:iCs w:val="false"/>
                <w:sz w:val="19"/>
                <w:szCs w:val="19"/>
              </w:rPr>
              <w:t xml:space="preserve">Départ à la retraite prévu ; ne sera pas joignable pour la vérification des interprétations.</w:t>
            </w:r>
          </w:p>
        </w:tc>
      </w:tr>
    </w:tbl>
    <w:p>
      <w:r>
        <w:br w:type="page"/>
      </w:r>
    </w:p>
    <w:p>
      <w:pPr>
        <w:pStyle w:val="Heading1"/>
        <w:spacing w:after="160" w:before="280"/>
      </w:pPr>
      <w:r>
        <w:t xml:space="preserve">6. Annexe 9 — Données de routine du district</w:t>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Valeurs entièrement fictives</w:t>
            </w:r>
          </w:p>
          <w:p>
            <w:r>
              <w:rPr>
                <w:sz w:val="19"/>
                <w:szCs w:val="19"/>
              </w:rPr>
              <w:t xml:space="preserve">Aucune donnée du système d'information sanitaire n'a été consultée. Les valeurs ont été construites pour rester cohérentes avec les observations et les entretiens simulés, afin que l'exercice de triangulation ait un sens. Elles ne décrivent aucun centre réel.</w:t>
            </w:r>
          </w:p>
        </w:tc>
      </w:tr>
    </w:tbl>
    <w:p/>
    <w:p>
      <w:pPr>
        <w:rPr>
          <w:i/>
          <w:iCs/>
          <w:sz w:val="19"/>
          <w:szCs w:val="19"/>
        </w:rPr>
      </w:pPr>
      <w:r>
        <w:rPr>
          <w:i/>
          <w:iCs/>
          <w:sz w:val="19"/>
          <w:szCs w:val="19"/>
        </w:rPr>
        <w:t xml:space="preserve">Source et période : Direction de la santé du district (SIMULÉ)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470</w:t>
            </w:r>
          </w:p>
        </w:tc>
        <w:tc>
          <w:tcPr>
            <w:tcW w:type="dxa" w:w="900"/>
            <w:tcMar>
              <w:top w:type="dxa" w:w="60"/>
              <w:left w:type="dxa" w:w="100"/>
              <w:bottom w:type="dxa" w:w="60"/>
              <w:right w:type="dxa" w:w="100"/>
            </w:tcMar>
          </w:tcPr>
          <w:p>
            <w:r>
              <w:rPr>
                <w:b w:val="false"/>
                <w:bCs w:val="false"/>
                <w:i w:val="false"/>
                <w:iCs w:val="false"/>
                <w:sz w:val="19"/>
                <w:szCs w:val="19"/>
              </w:rPr>
              <w:t xml:space="preserve">305</w:t>
            </w:r>
          </w:p>
        </w:tc>
        <w:tc>
          <w:tcPr>
            <w:tcW w:type="dxa" w:w="1200"/>
            <w:tcMar>
              <w:top w:type="dxa" w:w="60"/>
              <w:left w:type="dxa" w:w="100"/>
              <w:bottom w:type="dxa" w:w="60"/>
              <w:right w:type="dxa" w:w="100"/>
            </w:tcMar>
          </w:tcPr>
          <w:p>
            <w:r>
              <w:rPr>
                <w:b w:val="false"/>
                <w:bCs w:val="false"/>
                <w:i w:val="false"/>
                <w:iCs w:val="false"/>
                <w:sz w:val="19"/>
                <w:szCs w:val="19"/>
              </w:rPr>
              <w:t xml:space="preserve">65 %</w:t>
            </w:r>
          </w:p>
        </w:tc>
        <w:tc>
          <w:tcPr>
            <w:tcW w:type="dxa" w:w="1700"/>
            <w:tcMar>
              <w:top w:type="dxa" w:w="60"/>
              <w:left w:type="dxa" w:w="100"/>
              <w:bottom w:type="dxa" w:w="60"/>
              <w:right w:type="dxa" w:w="100"/>
            </w:tcMar>
          </w:tcPr>
          <w:p>
            <w:r>
              <w:rPr>
                <w:b w:val="false"/>
                <w:bCs w:val="false"/>
                <w:i w:val="false"/>
                <w:iCs w:val="false"/>
                <w:sz w:val="19"/>
                <w:szCs w:val="19"/>
              </w:rPr>
              <w:t xml:space="preserve">52 %</w:t>
            </w:r>
          </w:p>
        </w:tc>
        <w:tc>
          <w:tcPr>
            <w:tcW w:type="dxa" w:w="1900"/>
            <w:tcMar>
              <w:top w:type="dxa" w:w="60"/>
              <w:left w:type="dxa" w:w="100"/>
              <w:bottom w:type="dxa" w:w="60"/>
              <w:right w:type="dxa" w:w="100"/>
            </w:tcMar>
          </w:tcPr>
          <w:p>
            <w:r>
              <w:rPr>
                <w:b w:val="false"/>
                <w:bCs w:val="false"/>
                <w:i w:val="false"/>
                <w:iCs w:val="false"/>
                <w:sz w:val="19"/>
                <w:szCs w:val="19"/>
              </w:rPr>
              <w:t xml:space="preserve">48</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360</w:t>
            </w:r>
          </w:p>
        </w:tc>
        <w:tc>
          <w:tcPr>
            <w:tcW w:type="dxa" w:w="900"/>
            <w:tcMar>
              <w:top w:type="dxa" w:w="60"/>
              <w:left w:type="dxa" w:w="100"/>
              <w:bottom w:type="dxa" w:w="60"/>
              <w:right w:type="dxa" w:w="100"/>
            </w:tcMar>
          </w:tcPr>
          <w:p>
            <w:r>
              <w:rPr>
                <w:b w:val="false"/>
                <w:bCs w:val="false"/>
                <w:i w:val="false"/>
                <w:iCs w:val="false"/>
                <w:sz w:val="19"/>
                <w:szCs w:val="19"/>
              </w:rPr>
              <w:t xml:space="preserve">214</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46 %</w:t>
            </w:r>
          </w:p>
        </w:tc>
        <w:tc>
          <w:tcPr>
            <w:tcW w:type="dxa" w:w="1900"/>
            <w:tcMar>
              <w:top w:type="dxa" w:w="60"/>
              <w:left w:type="dxa" w:w="100"/>
              <w:bottom w:type="dxa" w:w="60"/>
              <w:right w:type="dxa" w:w="100"/>
            </w:tcMar>
          </w:tcPr>
          <w:p>
            <w:r>
              <w:rPr>
                <w:b w:val="false"/>
                <w:bCs w:val="false"/>
                <w:i w:val="false"/>
                <w:iCs w:val="false"/>
                <w:sz w:val="19"/>
                <w:szCs w:val="19"/>
              </w:rPr>
              <w:t xml:space="preserve">41</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262</w:t>
            </w:r>
          </w:p>
        </w:tc>
        <w:tc>
          <w:tcPr>
            <w:tcW w:type="dxa" w:w="1200"/>
            <w:tcMar>
              <w:top w:type="dxa" w:w="60"/>
              <w:left w:type="dxa" w:w="100"/>
              <w:bottom w:type="dxa" w:w="60"/>
              <w:right w:type="dxa" w:w="100"/>
            </w:tcMar>
          </w:tcPr>
          <w:p>
            <w:r>
              <w:rPr>
                <w:b w:val="false"/>
                <w:bCs w:val="false"/>
                <w:i w:val="false"/>
                <w:iCs w:val="false"/>
                <w:sz w:val="19"/>
                <w:szCs w:val="19"/>
              </w:rPr>
              <w:t xml:space="preserve">64 %</w:t>
            </w:r>
          </w:p>
        </w:tc>
        <w:tc>
          <w:tcPr>
            <w:tcW w:type="dxa" w:w="1700"/>
            <w:tcMar>
              <w:top w:type="dxa" w:w="60"/>
              <w:left w:type="dxa" w:w="100"/>
              <w:bottom w:type="dxa" w:w="60"/>
              <w:right w:type="dxa" w:w="100"/>
            </w:tcMar>
          </w:tcPr>
          <w:p>
            <w:r>
              <w:rPr>
                <w:b w:val="false"/>
                <w:bCs w:val="false"/>
                <w:i w:val="false"/>
                <w:iCs w:val="false"/>
                <w:sz w:val="19"/>
                <w:szCs w:val="19"/>
              </w:rPr>
              <w:t xml:space="preserve">49 %</w:t>
            </w:r>
          </w:p>
        </w:tc>
        <w:tc>
          <w:tcPr>
            <w:tcW w:type="dxa" w:w="1900"/>
            <w:tcMar>
              <w:top w:type="dxa" w:w="60"/>
              <w:left w:type="dxa" w:w="100"/>
              <w:bottom w:type="dxa" w:w="60"/>
              <w:right w:type="dxa" w:w="100"/>
            </w:tcMar>
          </w:tcPr>
          <w:p>
            <w:r>
              <w:rPr>
                <w:b w:val="false"/>
                <w:bCs w:val="false"/>
                <w:i w:val="false"/>
                <w:iCs w:val="false"/>
                <w:sz w:val="19"/>
                <w:szCs w:val="19"/>
              </w:rPr>
              <w:t xml:space="preserve">57</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230</w:t>
            </w:r>
          </w:p>
        </w:tc>
        <w:tc>
          <w:tcPr>
            <w:tcW w:type="dxa" w:w="900"/>
            <w:tcMar>
              <w:top w:type="dxa" w:w="60"/>
              <w:left w:type="dxa" w:w="100"/>
              <w:bottom w:type="dxa" w:w="60"/>
              <w:right w:type="dxa" w:w="100"/>
            </w:tcMar>
          </w:tcPr>
          <w:p>
            <w:r>
              <w:rPr>
                <w:b w:val="false"/>
                <w:bCs w:val="false"/>
                <w:i w:val="false"/>
                <w:iCs w:val="false"/>
                <w:sz w:val="19"/>
                <w:szCs w:val="19"/>
              </w:rPr>
              <w:t xml:space="preserve">115</w:t>
            </w:r>
          </w:p>
        </w:tc>
        <w:tc>
          <w:tcPr>
            <w:tcW w:type="dxa" w:w="1200"/>
            <w:tcMar>
              <w:top w:type="dxa" w:w="60"/>
              <w:left w:type="dxa" w:w="100"/>
              <w:bottom w:type="dxa" w:w="60"/>
              <w:right w:type="dxa" w:w="100"/>
            </w:tcMar>
          </w:tcPr>
          <w:p>
            <w:r>
              <w:rPr>
                <w:b w:val="false"/>
                <w:bCs w:val="false"/>
                <w:i w:val="false"/>
                <w:iCs w:val="false"/>
                <w:sz w:val="19"/>
                <w:szCs w:val="19"/>
              </w:rPr>
              <w:t xml:space="preserve">50 %</w:t>
            </w:r>
          </w:p>
        </w:tc>
        <w:tc>
          <w:tcPr>
            <w:tcW w:type="dxa" w:w="1700"/>
            <w:tcMar>
              <w:top w:type="dxa" w:w="60"/>
              <w:left w:type="dxa" w:w="100"/>
              <w:bottom w:type="dxa" w:w="60"/>
              <w:right w:type="dxa" w:w="100"/>
            </w:tcMar>
          </w:tcPr>
          <w:p>
            <w:r>
              <w:rPr>
                <w:b w:val="false"/>
                <w:bCs w:val="false"/>
                <w:i w:val="false"/>
                <w:iCs w:val="false"/>
                <w:sz w:val="19"/>
                <w:szCs w:val="19"/>
              </w:rPr>
              <w:t xml:space="preserve">38 %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170</w:t>
            </w:r>
          </w:p>
        </w:tc>
        <w:tc>
          <w:tcPr>
            <w:tcW w:type="dxa" w:w="900"/>
            <w:tcMar>
              <w:top w:type="dxa" w:w="60"/>
              <w:left w:type="dxa" w:w="100"/>
              <w:bottom w:type="dxa" w:w="60"/>
              <w:right w:type="dxa" w:w="100"/>
            </w:tcMar>
          </w:tcPr>
          <w:p>
            <w:r>
              <w:rPr>
                <w:b w:val="false"/>
                <w:bCs w:val="false"/>
                <w:i w:val="false"/>
                <w:iCs w:val="false"/>
                <w:sz w:val="19"/>
                <w:szCs w:val="19"/>
              </w:rPr>
              <w:t xml:space="preserve">70</w:t>
            </w:r>
          </w:p>
        </w:tc>
        <w:tc>
          <w:tcPr>
            <w:tcW w:type="dxa" w:w="1200"/>
            <w:tcMar>
              <w:top w:type="dxa" w:w="60"/>
              <w:left w:type="dxa" w:w="100"/>
              <w:bottom w:type="dxa" w:w="60"/>
              <w:right w:type="dxa" w:w="100"/>
            </w:tcMar>
          </w:tcPr>
          <w:p>
            <w:r>
              <w:rPr>
                <w:b w:val="false"/>
                <w:bCs w:val="false"/>
                <w:i w:val="false"/>
                <w:iCs w:val="false"/>
                <w:sz w:val="19"/>
                <w:szCs w:val="19"/>
              </w:rPr>
              <w:t xml:space="preserve">41 %</w:t>
            </w:r>
          </w:p>
        </w:tc>
        <w:tc>
          <w:tcPr>
            <w:tcW w:type="dxa" w:w="1700"/>
            <w:tcMar>
              <w:top w:type="dxa" w:w="60"/>
              <w:left w:type="dxa" w:w="100"/>
              <w:bottom w:type="dxa" w:w="60"/>
              <w:right w:type="dxa" w:w="100"/>
            </w:tcMar>
          </w:tcPr>
          <w:p>
            <w:r>
              <w:rPr>
                <w:b w:val="false"/>
                <w:bCs w:val="false"/>
                <w:i w:val="false"/>
                <w:iCs w:val="false"/>
                <w:sz w:val="19"/>
                <w:szCs w:val="19"/>
              </w:rPr>
              <w:t xml:space="preserve">31 %</w:t>
            </w:r>
          </w:p>
        </w:tc>
        <w:tc>
          <w:tcPr>
            <w:tcW w:type="dxa" w:w="1900"/>
            <w:tcMar>
              <w:top w:type="dxa" w:w="60"/>
              <w:left w:type="dxa" w:w="100"/>
              <w:bottom w:type="dxa" w:w="60"/>
              <w:right w:type="dxa" w:w="100"/>
            </w:tcMar>
          </w:tcPr>
          <w:p>
            <w:r>
              <w:rPr>
                <w:b w:val="false"/>
                <w:bCs w:val="false"/>
                <w:i w:val="false"/>
                <w:iCs w:val="false"/>
                <w:sz w:val="19"/>
                <w:szCs w:val="19"/>
              </w:rPr>
              <w:t xml:space="preserve">7</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395</w:t>
            </w:r>
          </w:p>
        </w:tc>
        <w:tc>
          <w:tcPr>
            <w:tcW w:type="dxa" w:w="900"/>
            <w:tcMar>
              <w:top w:type="dxa" w:w="60"/>
              <w:left w:type="dxa" w:w="100"/>
              <w:bottom w:type="dxa" w:w="60"/>
              <w:right w:type="dxa" w:w="100"/>
            </w:tcMar>
          </w:tcPr>
          <w:p>
            <w:r>
              <w:rPr>
                <w:b w:val="false"/>
                <w:bCs w:val="false"/>
                <w:i w:val="false"/>
                <w:iCs w:val="false"/>
                <w:sz w:val="19"/>
                <w:szCs w:val="19"/>
              </w:rPr>
              <w:t xml:space="preserve">221</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44 %</w:t>
            </w:r>
          </w:p>
        </w:tc>
        <w:tc>
          <w:tcPr>
            <w:tcW w:type="dxa" w:w="1900"/>
            <w:tcMar>
              <w:top w:type="dxa" w:w="60"/>
              <w:left w:type="dxa" w:w="100"/>
              <w:bottom w:type="dxa" w:w="60"/>
              <w:right w:type="dxa" w:w="100"/>
            </w:tcMar>
          </w:tcPr>
          <w:p>
            <w:r>
              <w:rPr>
                <w:b w:val="false"/>
                <w:bCs w:val="false"/>
                <w:i w:val="false"/>
                <w:iCs w:val="false"/>
                <w:sz w:val="19"/>
                <w:szCs w:val="19"/>
              </w:rPr>
              <w:t xml:space="preserve">33</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245</w:t>
            </w:r>
          </w:p>
        </w:tc>
        <w:tc>
          <w:tcPr>
            <w:tcW w:type="dxa" w:w="900"/>
            <w:tcMar>
              <w:top w:type="dxa" w:w="60"/>
              <w:left w:type="dxa" w:w="100"/>
              <w:bottom w:type="dxa" w:w="60"/>
              <w:right w:type="dxa" w:w="100"/>
            </w:tcMar>
          </w:tcPr>
          <w:p>
            <w:r>
              <w:rPr>
                <w:b w:val="false"/>
                <w:bCs w:val="false"/>
                <w:i w:val="false"/>
                <w:iCs w:val="false"/>
                <w:sz w:val="19"/>
                <w:szCs w:val="19"/>
              </w:rPr>
              <w:t xml:space="preserve">110</w:t>
            </w:r>
          </w:p>
        </w:tc>
        <w:tc>
          <w:tcPr>
            <w:tcW w:type="dxa" w:w="1200"/>
            <w:tcMar>
              <w:top w:type="dxa" w:w="60"/>
              <w:left w:type="dxa" w:w="100"/>
              <w:bottom w:type="dxa" w:w="60"/>
              <w:right w:type="dxa" w:w="100"/>
            </w:tcMar>
          </w:tcPr>
          <w:p>
            <w:r>
              <w:rPr>
                <w:b w:val="false"/>
                <w:bCs w:val="false"/>
                <w:i w:val="false"/>
                <w:iCs w:val="false"/>
                <w:sz w:val="19"/>
                <w:szCs w:val="19"/>
              </w:rPr>
              <w:t xml:space="preserve">45 %</w:t>
            </w:r>
          </w:p>
        </w:tc>
        <w:tc>
          <w:tcPr>
            <w:tcW w:type="dxa" w:w="1700"/>
            <w:tcMar>
              <w:top w:type="dxa" w:w="60"/>
              <w:left w:type="dxa" w:w="100"/>
              <w:bottom w:type="dxa" w:w="60"/>
              <w:right w:type="dxa" w:w="100"/>
            </w:tcMar>
          </w:tcPr>
          <w:p>
            <w:r>
              <w:rPr>
                <w:b w:val="false"/>
                <w:bCs w:val="false"/>
                <w:i w:val="false"/>
                <w:iCs w:val="false"/>
                <w:sz w:val="19"/>
                <w:szCs w:val="19"/>
              </w:rPr>
              <w:t xml:space="preserve">35 %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250</w:t>
            </w:r>
          </w:p>
        </w:tc>
        <w:tc>
          <w:tcPr>
            <w:tcW w:type="dxa" w:w="900"/>
            <w:tcMar>
              <w:top w:type="dxa" w:w="60"/>
              <w:left w:type="dxa" w:w="100"/>
              <w:bottom w:type="dxa" w:w="60"/>
              <w:right w:type="dxa" w:w="100"/>
            </w:tcMar>
          </w:tcPr>
          <w:p>
            <w:r>
              <w:rPr>
                <w:b w:val="false"/>
                <w:bCs w:val="false"/>
                <w:i w:val="false"/>
                <w:iCs w:val="false"/>
                <w:sz w:val="19"/>
                <w:szCs w:val="19"/>
              </w:rPr>
              <w:t xml:space="preserve">140</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42 %</w:t>
            </w:r>
          </w:p>
        </w:tc>
        <w:tc>
          <w:tcPr>
            <w:tcW w:type="dxa" w:w="1900"/>
            <w:tcMar>
              <w:top w:type="dxa" w:w="60"/>
              <w:left w:type="dxa" w:w="100"/>
              <w:bottom w:type="dxa" w:w="60"/>
              <w:right w:type="dxa" w:w="100"/>
            </w:tcMar>
          </w:tcPr>
          <w:p>
            <w:r>
              <w:rPr>
                <w:b w:val="false"/>
                <w:bCs w:val="false"/>
                <w:i w:val="false"/>
                <w:iCs w:val="false"/>
                <w:sz w:val="19"/>
                <w:szCs w:val="19"/>
              </w:rPr>
              <w:t xml:space="preserve">12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85</w:t>
            </w:r>
          </w:p>
        </w:tc>
        <w:tc>
          <w:tcPr>
            <w:tcW w:type="dxa" w:w="900"/>
            <w:tcMar>
              <w:top w:type="dxa" w:w="60"/>
              <w:left w:type="dxa" w:w="100"/>
              <w:bottom w:type="dxa" w:w="60"/>
              <w:right w:type="dxa" w:w="100"/>
            </w:tcMar>
          </w:tcPr>
          <w:p>
            <w:r>
              <w:rPr>
                <w:b w:val="false"/>
                <w:bCs w:val="false"/>
                <w:i w:val="false"/>
                <w:iCs w:val="false"/>
                <w:sz w:val="19"/>
                <w:szCs w:val="19"/>
              </w:rPr>
              <w:t xml:space="preserve">31</w:t>
            </w:r>
          </w:p>
        </w:tc>
        <w:tc>
          <w:tcPr>
            <w:tcW w:type="dxa" w:w="1200"/>
            <w:tcMar>
              <w:top w:type="dxa" w:w="60"/>
              <w:left w:type="dxa" w:w="100"/>
              <w:bottom w:type="dxa" w:w="60"/>
              <w:right w:type="dxa" w:w="100"/>
            </w:tcMar>
          </w:tcPr>
          <w:p>
            <w:r>
              <w:rPr>
                <w:b w:val="false"/>
                <w:bCs w:val="false"/>
                <w:i w:val="false"/>
                <w:iCs w:val="false"/>
                <w:sz w:val="19"/>
                <w:szCs w:val="19"/>
              </w:rPr>
              <w:t xml:space="preserve">36 %</w:t>
            </w:r>
          </w:p>
        </w:tc>
        <w:tc>
          <w:tcPr>
            <w:tcW w:type="dxa" w:w="1700"/>
            <w:tcMar>
              <w:top w:type="dxa" w:w="60"/>
              <w:left w:type="dxa" w:w="100"/>
              <w:bottom w:type="dxa" w:w="60"/>
              <w:right w:type="dxa" w:w="100"/>
            </w:tcMar>
          </w:tcPr>
          <w:p>
            <w:r>
              <w:rPr>
                <w:b w:val="false"/>
                <w:bCs w:val="false"/>
                <w:i w:val="false"/>
                <w:iCs w:val="false"/>
                <w:sz w:val="19"/>
                <w:szCs w:val="19"/>
              </w:rPr>
              <w:t xml:space="preserve">33 %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300</w:t>
            </w:r>
          </w:p>
        </w:tc>
        <w:tc>
          <w:tcPr>
            <w:tcW w:type="dxa" w:w="900"/>
            <w:tcMar>
              <w:top w:type="dxa" w:w="60"/>
              <w:left w:type="dxa" w:w="100"/>
              <w:bottom w:type="dxa" w:w="60"/>
              <w:right w:type="dxa" w:w="100"/>
            </w:tcMar>
          </w:tcPr>
          <w:p>
            <w:r>
              <w:rPr>
                <w:b w:val="false"/>
                <w:bCs w:val="false"/>
                <w:i w:val="false"/>
                <w:iCs w:val="false"/>
                <w:sz w:val="19"/>
                <w:szCs w:val="19"/>
              </w:rPr>
              <w:t xml:space="preserve">96</w:t>
            </w:r>
          </w:p>
        </w:tc>
        <w:tc>
          <w:tcPr>
            <w:tcW w:type="dxa" w:w="1200"/>
            <w:tcMar>
              <w:top w:type="dxa" w:w="60"/>
              <w:left w:type="dxa" w:w="100"/>
              <w:bottom w:type="dxa" w:w="60"/>
              <w:right w:type="dxa" w:w="100"/>
            </w:tcMar>
          </w:tcPr>
          <w:p>
            <w:r>
              <w:rPr>
                <w:b w:val="false"/>
                <w:bCs w:val="false"/>
                <w:i w:val="false"/>
                <w:iCs w:val="false"/>
                <w:sz w:val="19"/>
                <w:szCs w:val="19"/>
              </w:rPr>
              <w:t xml:space="preserve">32 %</w:t>
            </w:r>
          </w:p>
        </w:tc>
        <w:tc>
          <w:tcPr>
            <w:tcW w:type="dxa" w:w="1700"/>
            <w:tcMar>
              <w:top w:type="dxa" w:w="60"/>
              <w:left w:type="dxa" w:w="100"/>
              <w:bottom w:type="dxa" w:w="60"/>
              <w:right w:type="dxa" w:w="100"/>
            </w:tcMar>
          </w:tcPr>
          <w:p>
            <w:r>
              <w:rPr>
                <w:b w:val="false"/>
                <w:bCs w:val="false"/>
                <w:i w:val="false"/>
                <w:iCs w:val="false"/>
                <w:sz w:val="19"/>
                <w:szCs w:val="19"/>
              </w:rPr>
              <w:t xml:space="preserve">29 %</w:t>
            </w:r>
          </w:p>
        </w:tc>
        <w:tc>
          <w:tcPr>
            <w:tcW w:type="dxa" w:w="1900"/>
            <w:tcMar>
              <w:top w:type="dxa" w:w="60"/>
              <w:left w:type="dxa" w:w="100"/>
              <w:bottom w:type="dxa" w:w="60"/>
              <w:right w:type="dxa" w:w="100"/>
            </w:tcMar>
          </w:tcPr>
          <w:p>
            <w:r>
              <w:rPr>
                <w:b w:val="false"/>
                <w:bCs w:val="false"/>
                <w:i w:val="false"/>
                <w:iCs w:val="false"/>
                <w:sz w:val="19"/>
                <w:szCs w:val="19"/>
              </w:rPr>
              <w:t xml:space="preserve">10</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275</w:t>
            </w:r>
          </w:p>
        </w:tc>
        <w:tc>
          <w:tcPr>
            <w:tcW w:type="dxa" w:w="900"/>
            <w:tcMar>
              <w:top w:type="dxa" w:w="60"/>
              <w:left w:type="dxa" w:w="100"/>
              <w:bottom w:type="dxa" w:w="60"/>
              <w:right w:type="dxa" w:w="100"/>
            </w:tcMar>
          </w:tcPr>
          <w:p>
            <w:r>
              <w:rPr>
                <w:b w:val="false"/>
                <w:bCs w:val="false"/>
                <w:i w:val="false"/>
                <w:iCs w:val="false"/>
                <w:sz w:val="19"/>
                <w:szCs w:val="19"/>
              </w:rPr>
              <w:t xml:space="preserve">118</w:t>
            </w:r>
          </w:p>
        </w:tc>
        <w:tc>
          <w:tcPr>
            <w:tcW w:type="dxa" w:w="1200"/>
            <w:tcMar>
              <w:top w:type="dxa" w:w="60"/>
              <w:left w:type="dxa" w:w="100"/>
              <w:bottom w:type="dxa" w:w="60"/>
              <w:right w:type="dxa" w:w="100"/>
            </w:tcMar>
          </w:tcPr>
          <w:p>
            <w:r>
              <w:rPr>
                <w:b w:val="false"/>
                <w:bCs w:val="false"/>
                <w:i w:val="false"/>
                <w:iCs w:val="false"/>
                <w:sz w:val="19"/>
                <w:szCs w:val="19"/>
              </w:rPr>
              <w:t xml:space="preserve">43 %</w:t>
            </w:r>
          </w:p>
        </w:tc>
        <w:tc>
          <w:tcPr>
            <w:tcW w:type="dxa" w:w="1700"/>
            <w:tcMar>
              <w:top w:type="dxa" w:w="60"/>
              <w:left w:type="dxa" w:w="100"/>
              <w:bottom w:type="dxa" w:w="60"/>
              <w:right w:type="dxa" w:w="100"/>
            </w:tcMar>
          </w:tcPr>
          <w:p>
            <w:r>
              <w:rPr>
                <w:b w:val="false"/>
                <w:bCs w:val="false"/>
                <w:i w:val="false"/>
                <w:iCs w:val="false"/>
                <w:sz w:val="19"/>
                <w:szCs w:val="19"/>
              </w:rPr>
              <w:t xml:space="preserve">30 %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225</w:t>
            </w:r>
          </w:p>
        </w:tc>
        <w:tc>
          <w:tcPr>
            <w:tcW w:type="dxa" w:w="900"/>
            <w:tcMar>
              <w:top w:type="dxa" w:w="60"/>
              <w:left w:type="dxa" w:w="100"/>
              <w:bottom w:type="dxa" w:w="60"/>
              <w:right w:type="dxa" w:w="100"/>
            </w:tcMar>
          </w:tcPr>
          <w:p>
            <w:r>
              <w:rPr>
                <w:b w:val="false"/>
                <w:bCs w:val="false"/>
                <w:i w:val="false"/>
                <w:iCs w:val="false"/>
                <w:sz w:val="19"/>
                <w:szCs w:val="19"/>
              </w:rPr>
              <w:t xml:space="preserve">133</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45 %</w:t>
            </w:r>
          </w:p>
        </w:tc>
        <w:tc>
          <w:tcPr>
            <w:tcW w:type="dxa" w:w="1900"/>
            <w:tcMar>
              <w:top w:type="dxa" w:w="60"/>
              <w:left w:type="dxa" w:w="100"/>
              <w:bottom w:type="dxa" w:w="60"/>
              <w:right w:type="dxa" w:w="100"/>
            </w:tcMar>
          </w:tcPr>
          <w:p>
            <w:r>
              <w:rPr>
                <w:b w:val="false"/>
                <w:bCs w:val="false"/>
                <w:i w:val="false"/>
                <w:iCs w:val="false"/>
                <w:sz w:val="19"/>
                <w:szCs w:val="19"/>
              </w:rPr>
              <w:t xml:space="preserve">11</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361</w:t>
            </w:r>
          </w:p>
        </w:tc>
        <w:tc>
          <w:tcPr>
            <w:tcW w:type="dxa" w:w="1200"/>
            <w:tcMar>
              <w:top w:type="dxa" w:w="60"/>
              <w:left w:type="dxa" w:w="100"/>
              <w:bottom w:type="dxa" w:w="60"/>
              <w:right w:type="dxa" w:w="100"/>
            </w:tcMar>
          </w:tcPr>
          <w:p>
            <w:r>
              <w:rPr>
                <w:b w:val="false"/>
                <w:bCs w:val="false"/>
                <w:i w:val="false"/>
                <w:iCs w:val="false"/>
                <w:sz w:val="19"/>
                <w:szCs w:val="19"/>
              </w:rPr>
              <w:t xml:space="preserve">88 %</w:t>
            </w:r>
          </w:p>
        </w:tc>
        <w:tc>
          <w:tcPr>
            <w:tcW w:type="dxa" w:w="1700"/>
            <w:tcMar>
              <w:top w:type="dxa" w:w="60"/>
              <w:left w:type="dxa" w:w="100"/>
              <w:bottom w:type="dxa" w:w="60"/>
              <w:right w:type="dxa" w:w="100"/>
            </w:tcMar>
          </w:tcPr>
          <w:p>
            <w:r>
              <w:rPr>
                <w:b w:val="false"/>
                <w:bCs w:val="false"/>
                <w:i w:val="false"/>
                <w:iCs w:val="false"/>
                <w:sz w:val="19"/>
                <w:szCs w:val="19"/>
              </w:rPr>
              <w:t xml:space="preserve">41 %</w:t>
            </w:r>
          </w:p>
        </w:tc>
        <w:tc>
          <w:tcPr>
            <w:tcW w:type="dxa" w:w="1900"/>
            <w:tcMar>
              <w:top w:type="dxa" w:w="60"/>
              <w:left w:type="dxa" w:w="100"/>
              <w:bottom w:type="dxa" w:w="60"/>
              <w:right w:type="dxa" w:w="100"/>
            </w:tcMar>
          </w:tcPr>
          <w:p>
            <w:r>
              <w:rPr>
                <w:b w:val="false"/>
                <w:bCs w:val="false"/>
                <w:i w:val="false"/>
                <w:iCs w:val="false"/>
                <w:sz w:val="19"/>
                <w:szCs w:val="19"/>
              </w:rPr>
              <w:t xml:space="preserve">14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215</w:t>
            </w:r>
          </w:p>
        </w:tc>
        <w:tc>
          <w:tcPr>
            <w:tcW w:type="dxa" w:w="900"/>
            <w:tcMar>
              <w:top w:type="dxa" w:w="60"/>
              <w:left w:type="dxa" w:w="100"/>
              <w:bottom w:type="dxa" w:w="60"/>
              <w:right w:type="dxa" w:w="100"/>
            </w:tcMar>
          </w:tcPr>
          <w:p>
            <w:r>
              <w:rPr>
                <w:b w:val="false"/>
                <w:bCs w:val="false"/>
                <w:i w:val="false"/>
                <w:iCs w:val="false"/>
                <w:sz w:val="19"/>
                <w:szCs w:val="19"/>
              </w:rPr>
              <w:t xml:space="preserve">116</w:t>
            </w:r>
          </w:p>
        </w:tc>
        <w:tc>
          <w:tcPr>
            <w:tcW w:type="dxa" w:w="1200"/>
            <w:tcMar>
              <w:top w:type="dxa" w:w="60"/>
              <w:left w:type="dxa" w:w="100"/>
              <w:bottom w:type="dxa" w:w="60"/>
              <w:right w:type="dxa" w:w="100"/>
            </w:tcMar>
          </w:tcPr>
          <w:p>
            <w:r>
              <w:rPr>
                <w:b w:val="false"/>
                <w:bCs w:val="false"/>
                <w:i w:val="false"/>
                <w:iCs w:val="false"/>
                <w:sz w:val="19"/>
                <w:szCs w:val="19"/>
              </w:rPr>
              <w:t xml:space="preserve">54 %</w:t>
            </w:r>
          </w:p>
        </w:tc>
        <w:tc>
          <w:tcPr>
            <w:tcW w:type="dxa" w:w="1700"/>
            <w:tcMar>
              <w:top w:type="dxa" w:w="60"/>
              <w:left w:type="dxa" w:w="100"/>
              <w:bottom w:type="dxa" w:w="60"/>
              <w:right w:type="dxa" w:w="100"/>
            </w:tcMar>
          </w:tcPr>
          <w:p>
            <w:r>
              <w:rPr>
                <w:b w:val="false"/>
                <w:bCs w:val="false"/>
                <w:i w:val="false"/>
                <w:iCs w:val="false"/>
                <w:sz w:val="19"/>
                <w:szCs w:val="19"/>
              </w:rPr>
              <w:t xml:space="preserve">40 %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200</w:t>
            </w:r>
          </w:p>
        </w:tc>
        <w:tc>
          <w:tcPr>
            <w:tcW w:type="dxa" w:w="900"/>
            <w:tcMar>
              <w:top w:type="dxa" w:w="60"/>
              <w:left w:type="dxa" w:w="100"/>
              <w:bottom w:type="dxa" w:w="60"/>
              <w:right w:type="dxa" w:w="100"/>
            </w:tcMar>
          </w:tcPr>
          <w:p>
            <w:r>
              <w:rPr>
                <w:b w:val="false"/>
                <w:bCs w:val="false"/>
                <w:i w:val="false"/>
                <w:iCs w:val="false"/>
                <w:sz w:val="19"/>
                <w:szCs w:val="19"/>
              </w:rPr>
              <w:t xml:space="preserve">92</w:t>
            </w:r>
          </w:p>
        </w:tc>
        <w:tc>
          <w:tcPr>
            <w:tcW w:type="dxa" w:w="1200"/>
            <w:tcMar>
              <w:top w:type="dxa" w:w="60"/>
              <w:left w:type="dxa" w:w="100"/>
              <w:bottom w:type="dxa" w:w="60"/>
              <w:right w:type="dxa" w:w="100"/>
            </w:tcMar>
          </w:tcPr>
          <w:p>
            <w:r>
              <w:rPr>
                <w:b w:val="false"/>
                <w:bCs w:val="false"/>
                <w:i w:val="false"/>
                <w:iCs w:val="false"/>
                <w:sz w:val="19"/>
                <w:szCs w:val="19"/>
              </w:rPr>
              <w:t xml:space="preserve">46 %</w:t>
            </w:r>
          </w:p>
        </w:tc>
        <w:tc>
          <w:tcPr>
            <w:tcW w:type="dxa" w:w="1700"/>
            <w:tcMar>
              <w:top w:type="dxa" w:w="60"/>
              <w:left w:type="dxa" w:w="100"/>
              <w:bottom w:type="dxa" w:w="60"/>
              <w:right w:type="dxa" w:w="100"/>
            </w:tcMar>
          </w:tcPr>
          <w:p>
            <w:r>
              <w:rPr>
                <w:b w:val="false"/>
                <w:bCs w:val="false"/>
                <w:i w:val="false"/>
                <w:iCs w:val="false"/>
                <w:sz w:val="19"/>
                <w:szCs w:val="19"/>
              </w:rPr>
              <w:t xml:space="preserve">34 %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900"/>
            <w:tcMar>
              <w:top w:type="dxa" w:w="60"/>
              <w:left w:type="dxa" w:w="100"/>
              <w:bottom w:type="dxa" w:w="60"/>
              <w:right w:type="dxa" w:w="100"/>
            </w:tcMar>
          </w:tcPr>
          <w:p>
            <w:r>
              <w:rPr>
                <w:b w:val="false"/>
                <w:bCs w:val="false"/>
                <w:i w:val="false"/>
                <w:iCs w:val="false"/>
                <w:sz w:val="19"/>
                <w:szCs w:val="19"/>
              </w:rPr>
              <w:t xml:space="preserve">190</w:t>
            </w:r>
          </w:p>
        </w:tc>
        <w:tc>
          <w:tcPr>
            <w:tcW w:type="dxa" w:w="900"/>
            <w:tcMar>
              <w:top w:type="dxa" w:w="60"/>
              <w:left w:type="dxa" w:w="100"/>
              <w:bottom w:type="dxa" w:w="60"/>
              <w:right w:type="dxa" w:w="100"/>
            </w:tcMar>
          </w:tcPr>
          <w:p>
            <w:r>
              <w:rPr>
                <w:b w:val="false"/>
                <w:bCs w:val="false"/>
                <w:i w:val="false"/>
                <w:iCs w:val="false"/>
                <w:sz w:val="19"/>
                <w:szCs w:val="19"/>
              </w:rPr>
              <w:t xml:space="preserve">101</w:t>
            </w:r>
          </w:p>
        </w:tc>
        <w:tc>
          <w:tcPr>
            <w:tcW w:type="dxa" w:w="1200"/>
            <w:tcMar>
              <w:top w:type="dxa" w:w="60"/>
              <w:left w:type="dxa" w:w="100"/>
              <w:bottom w:type="dxa" w:w="60"/>
              <w:right w:type="dxa" w:w="100"/>
            </w:tcMar>
          </w:tcPr>
          <w:p>
            <w:r>
              <w:rPr>
                <w:b w:val="false"/>
                <w:bCs w:val="false"/>
                <w:i w:val="false"/>
                <w:iCs w:val="false"/>
                <w:sz w:val="19"/>
                <w:szCs w:val="19"/>
              </w:rPr>
              <w:t xml:space="preserve">53 %</w:t>
            </w:r>
          </w:p>
        </w:tc>
        <w:tc>
          <w:tcPr>
            <w:tcW w:type="dxa" w:w="1700"/>
            <w:tcMar>
              <w:top w:type="dxa" w:w="60"/>
              <w:left w:type="dxa" w:w="100"/>
              <w:bottom w:type="dxa" w:w="60"/>
              <w:right w:type="dxa" w:w="100"/>
            </w:tcMar>
          </w:tcPr>
          <w:p>
            <w:r>
              <w:rPr>
                <w:b w:val="false"/>
                <w:bCs w:val="false"/>
                <w:i w:val="false"/>
                <w:iCs w:val="false"/>
                <w:sz w:val="19"/>
                <w:szCs w:val="19"/>
              </w:rPr>
              <w:t xml:space="preserve">36 %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156 (suivi dans le rapport interne du centre)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en panne)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45 %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(88 %) nettement supérieur au reste du district : à lire avec la réserve de qualité ci-dessous, et à rapprocher de la note d'observation sur la complétude du registre.</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2026-10-02T00:04:14.889Z</dcterms:created>
  <dcterms:modified xsi:type="dcterms:W3CDTF">2026-10-02T00:04:14.889Z</dcterms:modified>
</cp:coreProperties>
</file>

<file path=docProps/custom.xml><?xml version="1.0" encoding="utf-8"?>
<Properties xmlns="http://schemas.openxmlformats.org/officeDocument/2006/custom-properties" xmlns:vt="http://schemas.openxmlformats.org/officeDocument/2006/docPropsVTypes"/>
</file>