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Résultats, rédigé à partir du projet QualiCode « MÉMOIRE NGOMA — MUKAKI DUNIA Jacques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8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80"/>
        <w:jc w:val="both"/>
      </w:pPr>
      <w:r>
        <w:rPr>
          <w:i w:val="false"/>
          <w:iCs w:val="false"/>
          <w:sz w:val="22"/>
          <w:szCs w:val="22"/>
        </w:rPr>
        <w:t xml:space="preserve">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after="120" w:before="220"/>
      </w:pPr>
      <w:r>
        <w:t xml:space="preserve">5.1. Caractéristiques des participants et des centres</w:t>
      </w:r>
    </w:p>
    <w:p>
      <w:pPr>
        <w:spacing w:after="8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du laboratoire</w:t>
            </w:r>
          </w:p>
        </w:tc>
        <w:tc>
          <w:tcPr>
            <w:tcW w:type="dxa" w:w="6026"/>
            <w:tcMar>
              <w:top w:type="dxa" w:w="60"/>
              <w:left w:type="dxa" w:w="100"/>
              <w:bottom w:type="dxa" w:w="60"/>
              <w:right w:type="dxa" w:w="100"/>
            </w:tcMar>
          </w:tcPr>
          <w:p>
            <w:r>
              <w:rPr>
                <w:b w:val="false"/>
                <w:bCs w:val="false"/>
                <w:i w:val="false"/>
                <w:iCs w:val="false"/>
                <w:sz w:val="19"/>
                <w:szCs w:val="19"/>
              </w:rPr>
              <w:t xml:space="preserve">en état : 12 ; en panne : 2 ; laboratoire non encore ouvert : 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de la première CPN (demandée en CPN, faite au laboratoire) le jour de l'observation</w:t>
            </w:r>
          </w:p>
        </w:tc>
        <w:tc>
          <w:tcPr>
            <w:tcW w:type="dxa" w:w="6026"/>
            <w:tcMar>
              <w:top w:type="dxa" w:w="60"/>
              <w:left w:type="dxa" w:w="100"/>
              <w:bottom w:type="dxa" w:w="60"/>
              <w:right w:type="dxa" w:w="100"/>
            </w:tcMar>
          </w:tcPr>
          <w:p>
            <w:r>
              <w:rPr>
                <w:b w:val="false"/>
                <w:bCs w:val="false"/>
                <w:i w:val="false"/>
                <w:iCs w:val="false"/>
                <w:sz w:val="19"/>
                <w:szCs w:val="19"/>
              </w:rPr>
              <w:t xml:space="preserve">faite à toutes : 8 ; non faite : rupture de bandelettes : 3 ; non faite : glucomètre en panne : 2 ; non faite : laborantin absent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Rupture de bandelettes de glycémie (trois derniers mois)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Test manqué noté pour être refait</w:t>
            </w:r>
          </w:p>
        </w:tc>
        <w:tc>
          <w:tcPr>
            <w:tcW w:type="dxa" w:w="6026"/>
            <w:tcMar>
              <w:top w:type="dxa" w:w="60"/>
              <w:left w:type="dxa" w:w="100"/>
              <w:bottom w:type="dxa" w:w="60"/>
              <w:right w:type="dxa" w:w="100"/>
            </w:tcMar>
          </w:tcPr>
          <w:p>
            <w:r>
              <w:rPr>
                <w:b w:val="false"/>
                <w:bCs w:val="false"/>
                <w:i w:val="false"/>
                <w:iCs w:val="false"/>
                <w:sz w:val="19"/>
                <w:szCs w:val="19"/>
              </w:rPr>
              <w:t xml:space="preserve">oui : 2 ; non : 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refaite systématiquement à 24-28 semaines</w:t>
            </w:r>
          </w:p>
        </w:tc>
        <w:tc>
          <w:tcPr>
            <w:tcW w:type="dxa" w:w="6026"/>
            <w:tcMar>
              <w:top w:type="dxa" w:w="60"/>
              <w:left w:type="dxa" w:w="100"/>
              <w:bottom w:type="dxa" w:w="60"/>
              <w:right w:type="dxa" w:w="100"/>
            </w:tcMar>
          </w:tcPr>
          <w:p>
            <w:r>
              <w:rPr>
                <w:b w:val="false"/>
                <w:bCs w:val="false"/>
                <w:i w:val="false"/>
                <w:iCs w:val="false"/>
                <w:sz w:val="19"/>
                <w:szCs w:val="19"/>
              </w:rPr>
              <w:t xml:space="preserve">oui : 0 ; non (sur facteurs de risque au mieux)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80"/>
        <w:jc w:val="both"/>
      </w:pPr>
      <w:r>
        <w:rPr>
          <w:i w:val="false"/>
          <w:iCs w:val="false"/>
          <w:sz w:val="22"/>
          <w:szCs w:val="22"/>
        </w:rPr>
        <w:t xml:space="preserve">Le tensiomètre était présent en salle de CPN dans les 15 centres. La glycémie de la première CPN y est demandée pour toutes les femmes et faite par le laboratoire, dont le glucomètre était en état dans 12 centres et en panne dans 2 ; dans le centre dont le laboratoire n'était pas encore ouvert, l'équipe de CPN la faisait elle-même.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8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after="100" w:before="180"/>
      </w:pPr>
      <w:r>
        <w:t xml:space="preserve">5.2.2. Thème 1 — Un test pour toutes, sauf les jours où il manque quelque chose</w:t>
      </w:r>
    </w:p>
    <w:p>
      <w:pPr>
        <w:spacing w:after="80"/>
        <w:jc w:val="both"/>
      </w:pPr>
      <w:r>
        <w:rPr>
          <w:i w:val="false"/>
          <w:iCs w:val="false"/>
          <w:sz w:val="22"/>
          <w:szCs w:val="22"/>
        </w:rPr>
        <w:t xml:space="preserve">Définition. La tension est mesurée à chaque visite ; la glycémie est demandée par la CPN pour toutes au premier contact et faite au laboratoire, mais elle saute les jours de rupture de bandelettes, de panne du glucomètre ou d'absence du laborantin, et quand le laboratoire ferme avant le passage de la femme. La femme reçue ces jours-là n'est presque jamais rattrapée, et le test, même quand il est fait, n'est pas refait entre 24 et 28 semaines.</w:t>
      </w:r>
    </w:p>
    <w:p>
      <w:pPr>
        <w:spacing w:after="80"/>
        <w:jc w:val="both"/>
      </w:pPr>
      <w:r>
        <w:rPr>
          <w:i w:val="false"/>
          <w:iCs w:val="false"/>
          <w:sz w:val="22"/>
          <w:szCs w:val="22"/>
        </w:rPr>
        <w:t xml:space="preserve">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 fermeture du laboratoire l'après-midi. Le relais en CPN dépend d'un glucomètre propre au service, réservé aux urgences, et d'une personne formée à son usage : 7 participants décrivent cette glycémie d'urgence, faite en CPN ou par le laborantin appelé dans la salle.</w:t>
      </w:r>
    </w:p>
    <w:p>
      <w:pPr>
        <w:spacing w:after="40" w:before="60"/>
        <w:ind w:left="567" w:right="567"/>
        <w:jc w:val="both"/>
      </w:pPr>
      <w:r>
        <w:rPr>
          <w:i/>
          <w:iCs/>
          <w:sz w:val="21"/>
          <w:szCs w:val="21"/>
        </w:rPr>
        <w:t xml:space="preserve">« Mais le laborantin est seul et il part à quatorze heures. Celle qui arrive tard, ou qui attend trop longtemps chez nous, trouve le laboratoire fermé ; la case du sucre reste vide, et personne ne la rappelle. »</w:t>
      </w:r>
    </w:p>
    <w:p>
      <w:pPr>
        <w:spacing w:after="160"/>
        <w:ind w:left="567" w:right="567"/>
        <w:jc w:val="right"/>
      </w:pPr>
      <w:r>
        <w:rPr>
          <w:color w:val="444444"/>
          <w:sz w:val="19"/>
          <w:szCs w:val="19"/>
        </w:rPr>
        <w:t xml:space="preserve">(P20, infirmier — traduit du kinyarwanda)</w:t>
      </w:r>
    </w:p>
    <w:p>
      <w:pPr>
        <w:spacing w:after="80"/>
        <w:jc w:val="both"/>
      </w:pPr>
      <w:r>
        <w:rPr>
          <w:i w:val="false"/>
          <w:iCs w:val="false"/>
          <w:sz w:val="22"/>
          <w:szCs w:val="22"/>
        </w:rPr>
        <w:t xml:space="preserve">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spacing w:after="40" w:before="60"/>
        <w:ind w:left="567" w:right="567"/>
        <w:jc w:val="both"/>
      </w:pPr>
      <w:r>
        <w:rPr>
          <w:i/>
          <w:iCs/>
          <w:sz w:val="21"/>
          <w:szCs w:val="21"/>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ind w:left="567" w:right="567"/>
        <w:jc w:val="right"/>
      </w:pPr>
      <w:r>
        <w:rPr>
          <w:color w:val="444444"/>
          <w:sz w:val="19"/>
          <w:szCs w:val="19"/>
        </w:rPr>
        <w:t xml:space="preserve">(P01, infirmier — traduit du kinyarwanda)</w:t>
      </w:r>
    </w:p>
    <w:p>
      <w:pPr>
        <w:spacing w:after="80"/>
        <w:jc w:val="both"/>
      </w:pPr>
      <w:r>
        <w:rPr>
          <w:i w:val="false"/>
          <w:iCs w:val="false"/>
          <w:sz w:val="22"/>
          <w:szCs w:val="22"/>
        </w:rPr>
        <w:t xml:space="preserve">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after="100" w:before="180"/>
      </w:pPr>
      <w:r>
        <w:t xml:space="preserve">5.2.3. Thème 2 — Expliquer moins à celles qui savent le moins</w:t>
      </w:r>
    </w:p>
    <w:p>
      <w:pPr>
        <w:spacing w:after="8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8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8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80"/>
        <w:jc w:val="both"/>
      </w:pPr>
      <w:r>
        <w:rPr>
          <w:i w:val="false"/>
          <w:iCs w:val="false"/>
          <w:sz w:val="22"/>
          <w:szCs w:val="22"/>
        </w:rPr>
        <w:t xml:space="preserve">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spacing w:after="40" w:before="60"/>
        <w:ind w:left="567" w:right="567"/>
        <w:jc w:val="both"/>
      </w:pPr>
      <w:r>
        <w:rPr>
          <w:i/>
          <w:iCs/>
          <w:sz w:val="21"/>
          <w:szCs w:val="21"/>
        </w:rPr>
        <w:t xml:space="preserve">« Les femmes des collines du fond arrivent à dix heures, parfois onze heures, après deux heures de marche. Elles ont raté la séance. Et ce sont justement celles qui en auraient le plus besoin. »</w:t>
      </w:r>
    </w:p>
    <w:p>
      <w:pPr>
        <w:spacing w:after="160"/>
        <w:ind w:left="567" w:right="567"/>
        <w:jc w:val="right"/>
      </w:pPr>
      <w:r>
        <w:rPr>
          <w:color w:val="444444"/>
          <w:sz w:val="19"/>
          <w:szCs w:val="19"/>
        </w:rPr>
        <w:t xml:space="preserve">(P03,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8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8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pStyle w:val="Heading3"/>
        <w:spacing w:after="100" w:before="180"/>
      </w:pPr>
      <w:r>
        <w:t xml:space="preserve">5.3.3. Thème 5 — Ce que change la dotation, et ce qu'elle ne change pas</w:t>
      </w:r>
    </w:p>
    <w:p>
      <w:pPr>
        <w:spacing w:after="80"/>
        <w:jc w:val="both"/>
      </w:pPr>
      <w:r>
        <w:rPr>
          <w:i w:val="false"/>
          <w:iCs w:val="false"/>
          <w:sz w:val="22"/>
          <w:szCs w:val="22"/>
        </w:rPr>
        <w:t xml:space="preserve">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after="100" w:before="180"/>
      </w:pPr>
      <w:r>
        <w:t xml:space="preserve">5.3.4. Thème 3 — Trouver sans pouvoir suivre</w:t>
      </w:r>
    </w:p>
    <w:p>
      <w:pPr>
        <w:spacing w:after="80"/>
        <w:jc w:val="both"/>
      </w:pPr>
      <w:r>
        <w:rPr>
          <w:i w:val="false"/>
          <w:iCs w:val="false"/>
          <w:sz w:val="22"/>
          <w:szCs w:val="22"/>
        </w:rPr>
        <w:t xml:space="preserve">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spacing w:after="80"/>
        <w:jc w:val="both"/>
      </w:pPr>
      <w:r>
        <w:rPr>
          <w:i w:val="false"/>
          <w:iCs w:val="false"/>
          <w:sz w:val="22"/>
          <w:szCs w:val="22"/>
        </w:rPr>
        <w:t xml:space="preserve">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spacing w:after="40" w:before="60"/>
        <w:ind w:left="567" w:right="567"/>
        <w:jc w:val="both"/>
      </w:pPr>
      <w:r>
        <w:rPr>
          <w:i/>
          <w:iCs/>
          <w:sz w:val="21"/>
          <w:szCs w:val="21"/>
        </w:rPr>
        <w:t xml:space="preserve">« Mais ce sont des femmes de fonctionnaires ou de commerçants ; la femme qui cultive ne le pourra jamais, et c'est elle qui habite le plus loin. »</w:t>
      </w:r>
    </w:p>
    <w:p>
      <w:pPr>
        <w:spacing w:after="160"/>
        <w:ind w:left="567" w:right="567"/>
        <w:jc w:val="right"/>
      </w:pPr>
      <w:r>
        <w:rPr>
          <w:color w:val="444444"/>
          <w:sz w:val="19"/>
          <w:szCs w:val="19"/>
        </w:rPr>
        <w:t xml:space="preserve">(P11, sage-femme)</w:t>
      </w:r>
    </w:p>
    <w:p>
      <w:pPr>
        <w:pStyle w:val="Heading3"/>
        <w:spacing w:after="100" w:before="180"/>
      </w:pPr>
      <w:r>
        <w:t xml:space="preserve">5.3.5. Conditions sociales perçues</w:t>
      </w:r>
    </w:p>
    <w:p>
      <w:pPr>
        <w:spacing w:after="80"/>
        <w:jc w:val="both"/>
      </w:pPr>
      <w:r>
        <w:rPr>
          <w:i w:val="false"/>
          <w:iCs w:val="false"/>
          <w:sz w:val="22"/>
          <w:szCs w:val="22"/>
        </w:rPr>
        <w:t xml:space="preserve">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after="100" w:before="180"/>
      </w:pPr>
      <w:r>
        <w:t xml:space="preserve">5.3.6. Thème 6 — Le registre comme écran</w:t>
      </w:r>
    </w:p>
    <w:p>
      <w:pPr>
        <w:spacing w:after="8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8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after="120" w:before="220"/>
      </w:pPr>
      <w:r>
        <w:t xml:space="preserve">5.4. Portée reconnue en équité et transformations proposées</w:t>
      </w:r>
    </w:p>
    <w:p>
      <w:pPr>
        <w:spacing w:after="80"/>
        <w:jc w:val="both"/>
      </w:pPr>
      <w:r>
        <w:rPr>
          <w:i w:val="false"/>
          <w:iCs w:val="false"/>
          <w:sz w:val="22"/>
          <w:szCs w:val="22"/>
        </w:rPr>
        <w:t xml:space="preserve">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spacing w:after="80"/>
        <w:jc w:val="both"/>
      </w:pPr>
      <w:r>
        <w:rPr>
          <w:i w:val="false"/>
          <w:iCs w:val="false"/>
          <w:sz w:val="22"/>
          <w:szCs w:val="22"/>
        </w:rPr>
        <w:t xml:space="preserve">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after="120" w:before="220"/>
      </w:pPr>
      <w:r>
        <w:t xml:space="preserve">5.5. Triangulation et synthèse</w:t>
      </w:r>
    </w:p>
    <w:p>
      <w:pPr>
        <w:spacing w:after="80"/>
        <w:jc w:val="both"/>
      </w:pPr>
      <w:r>
        <w:rPr>
          <w:i w:val="false"/>
          <w:iCs w:val="false"/>
          <w:sz w:val="22"/>
          <w:szCs w:val="22"/>
        </w:rPr>
        <w:t xml:space="preserve">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spacing w:after="80"/>
        <w:jc w:val="both"/>
      </w:pPr>
      <w:r>
        <w:rPr>
          <w:i w:val="false"/>
          <w:iCs w:val="false"/>
          <w:sz w:val="22"/>
          <w:szCs w:val="22"/>
        </w:rPr>
        <w:t xml:space="preserve">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keepNext/>
        <w:spacing w:after="80" w:before="200"/>
      </w:pPr>
      <w:r>
        <w:rPr>
          <w:b/>
          <w:bCs/>
          <w:sz w:val="20"/>
          <w:szCs w:val="20"/>
        </w:rPr>
        <w:t xml:space="preserve">Tableau VI.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test pour toutes, sauf les jours où il manque quelque chose</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à l'inverse des besoins ; la séance collective, égale pour les présentes, ne restitue aucun résultat.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 ; l'autosurveillance après le diagnostic reste réservée aux ménages aisés.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Les intrants rendent le test initial régulier, pas le contrôle tardif ni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Les relais communautaires prolongent le dépistage ; l'alerte des ASM organise l'urgence, pas le contrôle.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 tableau VI.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2026-10-03T07:18:26.189Z</dcterms:created>
  <dcterms:modified xsi:type="dcterms:W3CDTF">2026-10-03T07:18:26.189Z</dcterms:modified>
</cp:coreProperties>
</file>

<file path=docProps/custom.xml><?xml version="1.0" encoding="utf-8"?>
<Properties xmlns="http://schemas.openxmlformats.org/officeDocument/2006/custom-properties" xmlns:vt="http://schemas.openxmlformats.org/officeDocument/2006/docPropsVTypes"/>
</file>