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60"/>
        <w:jc w:val="center"/>
        <w:rPr/>
      </w:pPr>
      <w:r>
        <w:rPr>
          <w:b/>
          <w:bCs/>
          <w:sz w:val="22"/>
          <w:szCs w:val="22"/>
        </w:rPr>
        <w:t>UNIVERSITÉ DE PARAKOU</w:t>
      </w:r>
    </w:p>
    <w:p>
      <w:pPr>
        <w:pStyle w:val="Normal"/>
        <w:spacing w:lineRule="auto" w:line="240" w:before="0" w:after="60"/>
        <w:jc w:val="center"/>
        <w:rPr/>
      </w:pPr>
      <w:r>
        <w:rPr>
          <w:b/>
          <w:bCs/>
          <w:sz w:val="22"/>
          <w:szCs w:val="22"/>
        </w:rPr>
        <w:t>ÉCOLE NATIONALE DE FORMATION DES TECHNICIENS SUPÉRIEURS EN SANTÉ PUBLIQUE ET EN SURVEILLANCE ÉPIDÉMIOLOGIQUE (ENATSE)</w:t>
      </w:r>
    </w:p>
    <w:p>
      <w:pPr>
        <w:pStyle w:val="Normal"/>
        <w:spacing w:lineRule="auto" w:line="240" w:before="0" w:after="60"/>
        <w:jc w:val="center"/>
        <w:rPr/>
      </w:pPr>
      <w:r>
        <w:rPr>
          <w:sz w:val="22"/>
          <w:szCs w:val="22"/>
        </w:rPr>
        <w:t>Programme de Master en Santé publique</w:t>
      </w:r>
    </w:p>
    <w:p>
      <w:pPr>
        <w:pStyle w:val="Normal"/>
        <w:spacing w:lineRule="auto" w:line="240" w:before="0" w:after="60"/>
        <w:jc w:val="center"/>
        <w:rPr/>
      </w:pPr>
      <w:r>
        <w:rPr>
          <w:sz w:val="22"/>
          <w:szCs w:val="22"/>
        </w:rPr>
        <w:t>Spécialité : Promotion de la santé</w:t>
      </w:r>
    </w:p>
    <w:p>
      <w:pPr>
        <w:pStyle w:val="Normal"/>
        <w:spacing w:lineRule="auto" w:line="240" w:before="0" w:after="600"/>
        <w:jc w:val="center"/>
        <w:rPr/>
      </w:pPr>
      <w:r>
        <w:rPr>
          <w:sz w:val="22"/>
          <w:szCs w:val="22"/>
        </w:rPr>
        <w:t>Année académique : 2025-2026</w:t>
      </w:r>
    </w:p>
    <w:p>
      <w:pPr>
        <w:pStyle w:val="Normal"/>
        <w:spacing w:lineRule="auto" w:line="240" w:before="0" w:after="60"/>
        <w:jc w:val="center"/>
        <w:rPr/>
      </w:pPr>
      <w:r>
        <w:rPr>
          <w:b/>
          <w:bCs/>
          <w:sz w:val="24"/>
          <w:szCs w:val="24"/>
        </w:rPr>
        <w:t>MÉMOIRE DE FIN DE FORMATION</w:t>
      </w:r>
    </w:p>
    <w:p>
      <w:pPr>
        <w:pStyle w:val="Normal"/>
        <w:spacing w:lineRule="auto" w:line="240" w:before="240" w:after="60"/>
        <w:jc w:val="center"/>
        <w:rPr/>
      </w:pPr>
      <w:r>
        <w:rPr>
          <w:b/>
          <w:bCs/>
          <w:sz w:val="22"/>
          <w:szCs w:val="22"/>
        </w:rPr>
        <w:t>THÈME</w:t>
      </w:r>
    </w:p>
    <w:p>
      <w:pPr>
        <w:pStyle w:val="Normal"/>
        <w:spacing w:lineRule="auto" w:line="240" w:before="0" w:after="600"/>
        <w:jc w:val="center"/>
        <w:rPr/>
      </w:pPr>
      <w:r>
        <w:rPr>
          <w:b/>
          <w:bCs/>
          <w:sz w:val="26"/>
          <w:szCs w:val="26"/>
        </w:rPr>
        <w:t>L'équité d'accès au dépistage capacitant de l'hypertension artérielle et du diabète en consultation prénatale : perceptions et pratiques déclarées des infirmiers et sages-femmes de Ngoma (Rwanda)</w:t>
      </w:r>
    </w:p>
    <w:p>
      <w:pPr>
        <w:pStyle w:val="Normal"/>
        <w:spacing w:lineRule="auto" w:line="240" w:before="0" w:after="120"/>
        <w:jc w:val="center"/>
        <w:rPr/>
      </w:pPr>
      <w:r>
        <w:rPr>
          <w:b/>
          <w:bCs/>
          <w:sz w:val="32"/>
          <w:szCs w:val="32"/>
        </w:rPr>
        <w:t>CHAPITRE 5 — RÉSULTATS</w:t>
      </w:r>
    </w:p>
    <w:p>
      <w:pPr>
        <w:pStyle w:val="Normal"/>
        <w:spacing w:lineRule="auto" w:line="240" w:before="0" w:after="600"/>
        <w:jc w:val="center"/>
        <w:rPr/>
      </w:pPr>
      <w:r>
        <w:rPr>
          <w:i/>
          <w:iCs/>
          <w:sz w:val="24"/>
          <w:szCs w:val="24"/>
        </w:rPr>
        <w:t>Document soumis à la validation de la directrice de mémoire</w:t>
      </w:r>
    </w:p>
    <w:p>
      <w:pPr>
        <w:pStyle w:val="Normal"/>
        <w:spacing w:lineRule="auto" w:line="240" w:before="0" w:after="60"/>
        <w:jc w:val="center"/>
        <w:rPr/>
      </w:pPr>
      <w:r>
        <w:rPr>
          <w:sz w:val="22"/>
          <w:szCs w:val="22"/>
        </w:rPr>
        <w:t>Présenté par MUKAKI DUNIA Jacques</w:t>
      </w:r>
    </w:p>
    <w:p>
      <w:pPr>
        <w:pStyle w:val="Normal"/>
        <w:spacing w:lineRule="auto" w:line="240" w:before="0" w:after="240"/>
        <w:jc w:val="center"/>
        <w:rPr/>
      </w:pPr>
      <w:r>
        <w:rPr>
          <w:sz w:val="22"/>
          <w:szCs w:val="22"/>
        </w:rPr>
        <w:t>Directrice de mémoire : Professeure N. Fanny M. HOUNKPONOU AHOUINGNAN</w:t>
      </w:r>
    </w:p>
    <w:p>
      <w:pPr>
        <w:pStyle w:val="Normal"/>
        <w:spacing w:lineRule="auto" w:line="240" w:before="0" w:after="60"/>
        <w:jc w:val="center"/>
        <w:rPr/>
      </w:pPr>
      <w:r>
        <w:rPr>
          <w:i/>
          <w:iCs/>
          <w:sz w:val="20"/>
          <w:szCs w:val="20"/>
        </w:rPr>
        <w:t>Version du 3 octobre 2026</w:t>
      </w:r>
    </w:p>
    <w:p>
      <w:pPr>
        <w:pStyle w:val="Normal"/>
        <w:rPr/>
      </w:pPr>
      <w:r>
        <w:rPr/>
      </w:r>
    </w:p>
    <w:p>
      <w:pPr>
        <w:pStyle w:val="Normal"/>
        <w:spacing w:lineRule="auto" w:line="240" w:before="0" w:after="60"/>
        <w:jc w:val="center"/>
        <w:rPr/>
        <w:sectPr>
          <w:type w:val="nextPage"/>
          <w:pgSz w:w="11906" w:h="16838"/>
          <w:pgMar w:left="1701" w:right="1418" w:gutter="0" w:header="0" w:top="1418" w:footer="0" w:bottom="1418"/>
          <w:pgNumType w:fmt="decimal"/>
          <w:formProt w:val="false"/>
          <w:textDirection w:val="lrTb"/>
          <w:docGrid w:type="default" w:linePitch="360" w:charSpace="4294959103"/>
        </w:sectPr>
      </w:pPr>
      <w:r>
        <w:rPr>
          <w:i/>
          <w:iCs/>
          <w:sz w:val="18"/>
          <w:szCs w:val="18"/>
        </w:rPr>
        <w:t>Version d'entraînement — entretiens et observations fictifs, à remplacer par les données du terrain</w:t>
      </w:r>
    </w:p>
    <w:p>
      <w:pPr>
        <w:pStyle w:val="Normal"/>
        <w:spacing w:before="0" w:after="240"/>
        <w:rPr/>
      </w:pPr>
      <w:r>
        <w:rPr>
          <w:i/>
          <w:iCs/>
        </w:rPr>
        <w:t>Ce chapitre est repris tel quel du mémoire complet. Les tableaux gardent leur numéro (IV à VI) : les tableaux I à III figurent au chapitre 4 (Cadre et méthodes). Les annexes citées sont celles du mémoire.</w:t>
      </w:r>
    </w:p>
    <w:p>
      <w:pPr>
        <w:pStyle w:val="Heading1"/>
        <w:spacing w:before="280" w:after="160"/>
        <w:rPr/>
      </w:pPr>
      <w:r>
        <w:rPr/>
        <w:t>5. RÉSULTATS</w:t>
      </w:r>
    </w:p>
    <w:p>
      <w:pPr>
        <w:pStyle w:val="Normal"/>
        <w:spacing w:before="0" w:after="80"/>
        <w:jc w:val="both"/>
        <w:rPr/>
      </w:pPr>
      <w:r>
        <w:rPr>
          <w:i w:val="false"/>
          <w:iCs w:val="false"/>
        </w:rPr>
        <w:t>Ce chapitre présente les résultats de l'analyse thématique de 20 entretiens semi-structurés et de 15 observations de service, conduits dans 15 des seize centres de santé du district, le seizième ayant servi au pré-test. Il suit les deux objectifs spécifiques ; sept thèmes structurent l'ensemble.</w:t>
      </w:r>
    </w:p>
    <w:p>
      <w:pPr>
        <w:pStyle w:val="Normal"/>
        <w:spacing w:before="0" w:after="80"/>
        <w:jc w:val="both"/>
        <w:rPr/>
      </w:pPr>
      <w:r>
        <w:rPr>
          <w:i w:val="false"/>
          <w:iCs w:val="false"/>
        </w:rPr>
        <w:t>Conventions de lecture. Chaque extrait est suivi du code du participant et de sa seule qualification (§ 4.2.7). Un effectif désigne le nombre de participants dont au moins un passage a été codé dans la catégorie : il indique l'étendue d'un propos dans le corpus, non une fréquence dans la population. Les propos sur les femmes sont des représentations professionnelles ; les extraits sont des propos notés pendant l'entretien, et ceux qui sont traduits du kinyarwanda sont signalés.</w:t>
      </w:r>
    </w:p>
    <w:p>
      <w:pPr>
        <w:pStyle w:val="Heading2"/>
        <w:spacing w:before="220" w:after="120"/>
        <w:rPr/>
      </w:pPr>
      <w:r>
        <w:rPr/>
        <w:t>5.1. Caractéristiques des participants et des centres</w:t>
      </w:r>
    </w:p>
    <w:p>
      <w:pPr>
        <w:pStyle w:val="Normal"/>
        <w:spacing w:before="0" w:after="80"/>
        <w:jc w:val="both"/>
        <w:rPr/>
      </w:pPr>
      <w:r>
        <w:rPr>
          <w:i w:val="false"/>
          <w:iCs w:val="false"/>
        </w:rPr>
        <w:t>Les 20 participants se répartissent en 10 infirmiers ou infirmières et 10 sages-femmes, dont 5 titulaires ; les entretiens ont duré de 38 à 61 minutes. Les tableaux IV et V ne sont pas croisés : associer une caractéristique individuelle à un centre identifierait la personne.</w:t>
      </w:r>
    </w:p>
    <w:p>
      <w:pPr>
        <w:pStyle w:val="Normal"/>
        <w:keepNext w:val="true"/>
        <w:spacing w:before="200" w:after="80"/>
        <w:rPr/>
      </w:pPr>
      <w:r>
        <w:rPr>
          <w:b/>
          <w:bCs/>
        </w:rPr>
        <w:t>Tableau IV. Caractéristiques des participants (n = 20)</w:t>
      </w:r>
    </w:p>
    <w:tbl>
      <w:tblPr>
        <w:tblW w:w="8787" w:type="dxa"/>
        <w:jc w:val="left"/>
        <w:tblInd w:w="0" w:type="dxa"/>
        <w:tblLayout w:type="fixed"/>
        <w:tblCellMar>
          <w:top w:w="60" w:type="dxa"/>
          <w:left w:w="100" w:type="dxa"/>
          <w:bottom w:w="60" w:type="dxa"/>
          <w:right w:w="100" w:type="dxa"/>
        </w:tblCellMar>
      </w:tblPr>
      <w:tblGrid>
        <w:gridCol w:w="2920"/>
        <w:gridCol w:w="5866"/>
      </w:tblGrid>
      <w:tr>
        <w:trPr>
          <w:tblHeader w:val="true"/>
        </w:trPr>
        <w:tc>
          <w:tcPr>
            <w:tcW w:w="2920"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Caractéristique</w:t>
            </w:r>
          </w:p>
        </w:tc>
        <w:tc>
          <w:tcPr>
            <w:tcW w:w="5866"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Modalités (effectif)</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Qualification</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infirmier : 6 ; infirmière : 4 ; sage-femme : 10</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Sexe</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féminin : 14 ; masculin : 6</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Tranche d'âge (ans)</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20-29 : 4 ; 30-39 : 8 ; 40-49 : 6 ; 50 et plus : 2</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Ancienneté totale</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&lt; 5 ans : 4 ; 5-10 ans : 8 ; &gt; 10 ans : 8</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Ancienneté en CPN</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6 mois-2 ans : 6 ; &gt; 2 ans : 14</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Fonction</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titulaire : 5 ; prestataire : 15</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Formation MNT reçue</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oui : 10 ; non : 8 ; ne sait pas : 2</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Langue de l'entretien</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kinyarwanda : 16 ; français : 4</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keepNext w:val="true"/>
              <w:spacing w:lineRule="auto" w:line="240" w:before="40" w:after="40"/>
              <w:jc w:val="left"/>
              <w:rPr>
                <w:sz w:val="22"/>
                <w:szCs w:val="22"/>
              </w:rPr>
            </w:pPr>
            <w:r>
              <w:rPr>
                <w:b w:val="false"/>
                <w:bCs w:val="false"/>
                <w:i w:val="false"/>
                <w:iCs w:val="false"/>
                <w:sz w:val="22"/>
                <w:szCs w:val="22"/>
              </w:rPr>
              <w:t>Vague de collecte</w:t>
            </w:r>
          </w:p>
        </w:tc>
        <w:tc>
          <w:tcPr>
            <w:tcW w:w="5866" w:type="dxa"/>
            <w:tcBorders>
              <w:top w:val="single" w:sz="4" w:space="0" w:color="000000"/>
              <w:left w:val="single" w:sz="4" w:space="0" w:color="000000"/>
              <w:bottom w:val="single" w:sz="4" w:space="0" w:color="000000"/>
              <w:right w:val="single" w:sz="4" w:space="0" w:color="000000"/>
            </w:tcBorders>
          </w:tcPr>
          <w:p>
            <w:pPr>
              <w:pStyle w:val="Normal"/>
              <w:keepNext w:val="true"/>
              <w:spacing w:lineRule="auto" w:line="240" w:before="40" w:after="40"/>
              <w:jc w:val="left"/>
              <w:rPr>
                <w:sz w:val="22"/>
                <w:szCs w:val="22"/>
              </w:rPr>
            </w:pPr>
            <w:r>
              <w:rPr>
                <w:b w:val="false"/>
                <w:bCs w:val="false"/>
                <w:i w:val="false"/>
                <w:iCs w:val="false"/>
                <w:sz w:val="22"/>
                <w:szCs w:val="22"/>
              </w:rPr>
              <w:t>vague 1 : 10 ; vague 2 : 10</w:t>
            </w:r>
          </w:p>
        </w:tc>
      </w:tr>
    </w:tbl>
    <w:p>
      <w:pPr>
        <w:pStyle w:val="Normal"/>
        <w:spacing w:before="60" w:after="200"/>
        <w:rPr>
          <w:sz w:val="22"/>
          <w:szCs w:val="22"/>
        </w:rPr>
      </w:pPr>
      <w:r>
        <w:rPr>
          <w:i/>
          <w:iCs/>
          <w:sz w:val="22"/>
          <w:szCs w:val="22"/>
        </w:rPr>
        <w:t>Source : fiches sociodémographiques (annexe 3).</w:t>
      </w:r>
    </w:p>
    <w:p>
      <w:pPr>
        <w:pStyle w:val="Normal"/>
        <w:keepNext w:val="true"/>
        <w:spacing w:before="200" w:after="80"/>
        <w:rPr/>
      </w:pPr>
      <w:r>
        <w:rPr>
          <w:b/>
          <w:bCs/>
        </w:rPr>
        <w:t>Tableau V. Caractéristiques des centres de santé (n = 15)</w:t>
      </w:r>
    </w:p>
    <w:tbl>
      <w:tblPr>
        <w:tblW w:w="8787" w:type="dxa"/>
        <w:jc w:val="left"/>
        <w:tblInd w:w="0" w:type="dxa"/>
        <w:tblLayout w:type="fixed"/>
        <w:tblCellMar>
          <w:top w:w="60" w:type="dxa"/>
          <w:left w:w="100" w:type="dxa"/>
          <w:bottom w:w="60" w:type="dxa"/>
          <w:right w:w="100" w:type="dxa"/>
        </w:tblCellMar>
      </w:tblPr>
      <w:tblGrid>
        <w:gridCol w:w="2920"/>
        <w:gridCol w:w="5866"/>
      </w:tblGrid>
      <w:tr>
        <w:trPr>
          <w:tblHeader w:val="true"/>
        </w:trPr>
        <w:tc>
          <w:tcPr>
            <w:tcW w:w="2920"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Caractéristique</w:t>
            </w:r>
          </w:p>
        </w:tc>
        <w:tc>
          <w:tcPr>
            <w:tcW w:w="5866"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Modalités (nombre de centres)</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Secteur d'implantation</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urbain : 4 ; rural périphérique : 11</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Distance à l'hôpital</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proche : 4 ; éloignée : 11</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Volume d'activité prénatale</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élevé : 5 ; modéré : 10</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Profil de pauvreté du secteur</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plus faible : 4 ; plus élevée : 11</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Glucomètre du laboratoire</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en état : 12 ; en panne : 2 ; laboratoire non encore ouvert : 1</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Glucomètre propre à la CPN (urgences)</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oui : 6 ; non : 9</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Glycémie de la première CPN (demandée en CPN, faite au laboratoire) le jour de l'observation</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faite à toutes : 8 ; non faite : rupture de bandelettes : 3 ; non faite : glucomètre en panne : 2 ; non faite : laborantin absent : 2</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Rupture de bandelettes de glycémie (trois derniers mois)</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oui : 6 ; non : 9</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Test manqué noté pour être refait</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oui : 2 ; non : 13</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Glycémie refaite systématiquement à 24-28 semaines</w:t>
            </w:r>
          </w:p>
        </w:tc>
        <w:tc>
          <w:tcPr>
            <w:tcW w:w="5866"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oui : 0 ; non (sur facteurs de risque au mieux) : 15</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keepNext w:val="true"/>
              <w:spacing w:lineRule="auto" w:line="240" w:before="40" w:after="40"/>
              <w:jc w:val="left"/>
              <w:rPr>
                <w:sz w:val="22"/>
                <w:szCs w:val="22"/>
              </w:rPr>
            </w:pPr>
            <w:r>
              <w:rPr>
                <w:b w:val="false"/>
                <w:bCs w:val="false"/>
                <w:i w:val="false"/>
                <w:iCs w:val="false"/>
                <w:sz w:val="22"/>
                <w:szCs w:val="22"/>
              </w:rPr>
              <w:t>Femmes reçues pendant la demi-journée</w:t>
            </w:r>
          </w:p>
        </w:tc>
        <w:tc>
          <w:tcPr>
            <w:tcW w:w="5866" w:type="dxa"/>
            <w:tcBorders>
              <w:top w:val="single" w:sz="4" w:space="0" w:color="000000"/>
              <w:left w:val="single" w:sz="4" w:space="0" w:color="000000"/>
              <w:bottom w:val="single" w:sz="4" w:space="0" w:color="000000"/>
              <w:right w:val="single" w:sz="4" w:space="0" w:color="000000"/>
            </w:tcBorders>
          </w:tcPr>
          <w:p>
            <w:pPr>
              <w:pStyle w:val="Normal"/>
              <w:keepNext w:val="true"/>
              <w:spacing w:lineRule="auto" w:line="240" w:before="40" w:after="40"/>
              <w:jc w:val="left"/>
              <w:rPr>
                <w:sz w:val="22"/>
                <w:szCs w:val="22"/>
              </w:rPr>
            </w:pPr>
            <w:r>
              <w:rPr>
                <w:b w:val="false"/>
                <w:bCs w:val="false"/>
                <w:i w:val="false"/>
                <w:iCs w:val="false"/>
                <w:sz w:val="22"/>
                <w:szCs w:val="22"/>
              </w:rPr>
              <w:t>14 à 51</w:t>
            </w:r>
          </w:p>
        </w:tc>
      </w:tr>
    </w:tbl>
    <w:p>
      <w:pPr>
        <w:pStyle w:val="Normal"/>
        <w:spacing w:before="60" w:after="200"/>
        <w:rPr>
          <w:sz w:val="22"/>
          <w:szCs w:val="22"/>
        </w:rPr>
      </w:pPr>
      <w:r>
        <w:rPr>
          <w:i/>
          <w:iCs/>
          <w:sz w:val="22"/>
          <w:szCs w:val="22"/>
        </w:rPr>
        <w:t>Source : grilles d'observation (annexe 2) et données de routine du district.</w:t>
      </w:r>
    </w:p>
    <w:p>
      <w:pPr>
        <w:pStyle w:val="Normal"/>
        <w:spacing w:before="0" w:after="80"/>
        <w:jc w:val="both"/>
        <w:rPr/>
      </w:pPr>
      <w:r>
        <w:rPr>
          <w:i w:val="false"/>
          <w:iCs w:val="false"/>
        </w:rPr>
        <w:t>Le tensiomètre était présent en salle de CPN dans les 15 centres. La glycémie de la première CPN y est demandée pour toutes les femmes et faite par le laboratoire, dont le glucomètre était en état dans 12 centres et en panne dans 2 ; dans le centre dont le laboratoire n'était pas encore ouvert, l'équipe de CPN la faisait elle-même. Six services de CPN disposaient en outre d'un glucomètre pour les urgences ; les autres appellent le laborantin ou envoient la femme au laboratoire. Le jour de l'observation, la glycémie était faite dans 8 centres ; dans les 7 autres, elle ne l'était pas, faute de bandelettes valides (3), d'un appareil en état (2) ou du laborantin (2). Au cours des trois mois précédents, 6 centres avaient connu une rupture de bandelettes. Seuls 2 centres notaient le test manqué pour le refaire au rendez-vous suivant, et aucun (0) ne refaisait la glycémie de façon systématique entre 24 et 28 semaines.</w:t>
      </w:r>
    </w:p>
    <w:p>
      <w:pPr>
        <w:pStyle w:val="Heading2"/>
        <w:spacing w:before="220" w:after="120"/>
        <w:rPr/>
      </w:pPr>
      <w:r>
        <w:rPr/>
        <w:t>5.2. Sens attribué au dépistage et pratiques déclarées (objectif spécifique 1)</w:t>
      </w:r>
    </w:p>
    <w:p>
      <w:pPr>
        <w:pStyle w:val="Heading3"/>
        <w:spacing w:before="180" w:after="100"/>
        <w:rPr/>
      </w:pPr>
      <w:r>
        <w:rPr/>
        <w:t>5.2.1. Un dépistage légitime, mais inégalement investi</w:t>
      </w:r>
    </w:p>
    <w:p>
      <w:pPr>
        <w:pStyle w:val="Normal"/>
        <w:spacing w:before="0" w:after="80"/>
        <w:jc w:val="both"/>
        <w:rPr/>
      </w:pPr>
      <w:r>
        <w:rPr>
          <w:i w:val="false"/>
          <w:iCs w:val="false"/>
        </w:rPr>
        <w:t>Tous les participants (20) reconnaissent ce dépistage comme relevant du mandat de la CPN, souvent le seul moment de la vie adulte où une femme en bonne santé rencontre régulièrement un soignant. Cette légitimité se dissocie pourtant de la pratique : la tension est un geste intégré, « comme le poids » ; la glycémie, là où elle manque durablement, sort du champ de pensée, ce que 4 participants décrivent comme un effet de l'impuissance.</w:t>
      </w:r>
    </w:p>
    <w:p>
      <w:pPr>
        <w:pStyle w:val="Heading3"/>
        <w:spacing w:before="180" w:after="100"/>
        <w:rPr/>
      </w:pPr>
      <w:r>
        <w:rPr/>
        <w:t>5.2.2. Thème 1 — Un test pour toutes, sauf les jours où il manque quelque chose</w:t>
      </w:r>
    </w:p>
    <w:p>
      <w:pPr>
        <w:pStyle w:val="Normal"/>
        <w:spacing w:before="0" w:after="80"/>
        <w:jc w:val="both"/>
        <w:rPr/>
      </w:pPr>
      <w:r>
        <w:rPr>
          <w:i w:val="false"/>
          <w:iCs w:val="false"/>
        </w:rPr>
        <w:t>Définition. La tension est mesurée à chaque visite ; la glycémie est demandée par la CPN pour toutes au premier contact et faite au laboratoire, mais elle saute les jours de rupture de bandelettes, de panne du glucomètre ou d'absence du laborantin, et quand le laboratoire ferme avant le passage de la femme. La femme reçue ces jours-là n'est presque jamais rattrapée, et le test, même quand il est fait, n'est pas refait entre 24 et 28 semaines.</w:t>
      </w:r>
    </w:p>
    <w:p>
      <w:pPr>
        <w:pStyle w:val="Normal"/>
        <w:spacing w:before="0" w:after="80"/>
        <w:jc w:val="both"/>
        <w:rPr/>
      </w:pPr>
      <w:r>
        <w:rPr>
          <w:i w:val="false"/>
          <w:iCs w:val="false"/>
        </w:rPr>
        <w:t>Tous les participants (20) décrivent la glycémie de la première CPN comme une règle pour toutes ; 15 décrivent des jours, des semaines ou des mois où elle ne se fait pas. Trois causes reviennent : la rupture ou la péremption des bandelettes du laboratoire, partagées avec la consultation des maladies chroniques (6 participants évoquent cette concurrence) ; la panne d'un appareil que personne ne répare (5) ; et l'absence d'un laborantin souvent seul, ou la fermeture du laboratoire l'après-midi. Le relais en CPN dépend d'un glucomètre propre au service, réservé aux urgences, et d'une personne formée à son usage : 7 participants décrivent cette glycémie d'urgence, faite en CPN ou par le laborantin appelé dans la salle.</w:t>
      </w:r>
    </w:p>
    <w:p>
      <w:pPr>
        <w:pStyle w:val="Normal"/>
        <w:spacing w:lineRule="auto" w:line="240" w:before="60" w:after="40"/>
        <w:ind w:left="567" w:right="567"/>
        <w:jc w:val="both"/>
        <w:rPr>
          <w:sz w:val="24"/>
          <w:szCs w:val="24"/>
        </w:rPr>
      </w:pPr>
      <w:r>
        <w:rPr>
          <w:i/>
          <w:iCs/>
          <w:sz w:val="24"/>
          <w:szCs w:val="24"/>
        </w:rPr>
        <w:t>« Mais le laborantin est seul et il part à quatorze heures. Celle qui arrive tard, ou qui attend trop longtemps chez nous, trouve le laboratoire fermé ; la case du sucre reste vide, et personne ne la rappelle. »</w:t>
      </w:r>
    </w:p>
    <w:p>
      <w:pPr>
        <w:pStyle w:val="Normal"/>
        <w:spacing w:lineRule="auto" w:line="240" w:before="0" w:after="160"/>
        <w:ind w:left="567" w:right="567"/>
        <w:jc w:val="right"/>
        <w:rPr>
          <w:sz w:val="24"/>
          <w:szCs w:val="24"/>
        </w:rPr>
      </w:pPr>
      <w:r>
        <w:rPr>
          <w:sz w:val="24"/>
          <w:szCs w:val="24"/>
        </w:rPr>
        <w:t>(P20, infirmier — traduit du kinyarwanda)</w:t>
      </w:r>
    </w:p>
    <w:p>
      <w:pPr>
        <w:pStyle w:val="Normal"/>
        <w:spacing w:before="0" w:after="80"/>
        <w:jc w:val="both"/>
        <w:rPr/>
      </w:pPr>
      <w:r>
        <w:rPr>
          <w:i w:val="false"/>
          <w:iCs w:val="false"/>
        </w:rPr>
        <w:t>Douze participants parlent du devenir de la femme manquée : la case vide du registre n'est relue par personne, et les femmes reçues pendant une rupture ne sont pas rappelées quand les bandelettes reviennent ; 2 centres seulement inscrivent « glycémie à refaire » sur le carnet. L'accès au test dépend ainsi du jour et de l'heure où la femme se présente.</w:t>
      </w:r>
    </w:p>
    <w:p>
      <w:pPr>
        <w:pStyle w:val="Normal"/>
        <w:spacing w:lineRule="auto" w:line="240" w:before="60" w:after="40"/>
        <w:ind w:left="567" w:right="567"/>
        <w:jc w:val="both"/>
        <w:rPr>
          <w:sz w:val="24"/>
          <w:szCs w:val="24"/>
        </w:rPr>
      </w:pPr>
      <w:r>
        <w:rPr>
          <w:i/>
          <w:iCs/>
          <w:sz w:val="24"/>
          <w:szCs w:val="24"/>
        </w:rPr>
        <w:t>« Toutes les femmes venues pour leur première visite pendant ce temps-là sont reparties sans le test, et personne ne les a rappelées quand les bandelettes sont revenues : on n'a pas de liste, et à la visite suivante on ne pense pas à regarder si la case est vide. »</w:t>
      </w:r>
    </w:p>
    <w:p>
      <w:pPr>
        <w:pStyle w:val="Normal"/>
        <w:spacing w:lineRule="auto" w:line="240" w:before="0" w:after="160"/>
        <w:ind w:left="567" w:right="567"/>
        <w:jc w:val="right"/>
        <w:rPr>
          <w:sz w:val="24"/>
          <w:szCs w:val="24"/>
        </w:rPr>
      </w:pPr>
      <w:r>
        <w:rPr>
          <w:sz w:val="24"/>
          <w:szCs w:val="24"/>
        </w:rPr>
        <w:t>(P01, infirmier — traduit du kinyarwanda)</w:t>
      </w:r>
    </w:p>
    <w:p>
      <w:pPr>
        <w:pStyle w:val="Normal"/>
        <w:spacing w:before="0" w:after="80"/>
        <w:jc w:val="both"/>
        <w:rPr/>
      </w:pPr>
      <w:r>
        <w:rPr>
          <w:i w:val="false"/>
          <w:iCs w:val="false"/>
        </w:rPr>
        <w:t>Là où tout est en place, le test reste unique : 6 participants décrivent une glycémie qui n'est refaite qu'en présence d'un signe d'appel ou d'un facteur de risque — surpoids, antécédent de gros bébé, diabète dans la famille, sucre dans les urines, âge —, et aucune épreuve de charge entre 24 et 28 semaines, la période où le diabète gestationnel apparaît. Hors de la CPN, les campagnes de dépistage des maladies non transmissibles mesurent la tension et la glycémie de toute personne qui se présente, femmes enceintes comprises, sans que le résultat revienne à la CPN (2 participants).</w:t>
      </w:r>
    </w:p>
    <w:p>
      <w:pPr>
        <w:pStyle w:val="Heading3"/>
        <w:spacing w:before="180" w:after="100"/>
        <w:rPr/>
      </w:pPr>
      <w:r>
        <w:rPr/>
        <w:t>5.2.3. Thème 2 — Expliquer moins à celles qui savent le moins</w:t>
      </w:r>
    </w:p>
    <w:p>
      <w:pPr>
        <w:pStyle w:val="Normal"/>
        <w:spacing w:before="0" w:after="80"/>
        <w:jc w:val="both"/>
        <w:rPr/>
      </w:pPr>
      <w:r>
        <w:rPr>
          <w:i w:val="false"/>
          <w:iCs w:val="false"/>
        </w:rPr>
        <w:t>Définition. L'explication qui suit la mesure varie selon l'heure, la charge de travail et l'idée que le soignant se fait de la femme, à l'inverse des besoins. Ce sont les participants eux-mêmes qui le décrivent ; le thème ne désigne pas une faute individuelle.</w:t>
      </w:r>
    </w:p>
    <w:p>
      <w:pPr>
        <w:pStyle w:val="Normal"/>
        <w:spacing w:before="0" w:after="80"/>
        <w:jc w:val="both"/>
        <w:rPr/>
      </w:pPr>
      <w:r>
        <w:rPr>
          <w:i w:val="false"/>
          <w:iCs w:val="false"/>
        </w:rPr>
        <w:t>Dix-sept participants décrivent cette modulation, selon l'instruction supposée, l'heure d'arrivée et l'assurance de la femme ; plusieurs formulent eux-mêmes le paradoxe, parfois en le découvrant au cours de l'entretien.</w:t>
      </w:r>
    </w:p>
    <w:p>
      <w:pPr>
        <w:pStyle w:val="Normal"/>
        <w:spacing w:lineRule="auto" w:line="240" w:before="60" w:after="40"/>
        <w:ind w:left="567" w:right="567"/>
        <w:jc w:val="both"/>
        <w:rPr>
          <w:sz w:val="24"/>
          <w:szCs w:val="24"/>
        </w:rPr>
      </w:pPr>
      <w:r>
        <w:rPr>
          <w:i/>
          <w:iCs/>
          <w:sz w:val="24"/>
          <w:szCs w:val="24"/>
        </w:rPr>
        <w:t>« Si vous venez à sept heures trente, vous aurez une infirmière qui vous explique. Si vous venez à onze heures, vous aurez la même infirmière mais elle vous dira trois mots. C'est le même service et ce n'est pas le même service. »</w:t>
      </w:r>
    </w:p>
    <w:p>
      <w:pPr>
        <w:pStyle w:val="Normal"/>
        <w:spacing w:lineRule="auto" w:line="240" w:before="0" w:after="160"/>
        <w:ind w:left="567" w:right="567"/>
        <w:jc w:val="right"/>
        <w:rPr>
          <w:sz w:val="24"/>
          <w:szCs w:val="24"/>
        </w:rPr>
      </w:pPr>
      <w:r>
        <w:rPr>
          <w:sz w:val="24"/>
          <w:szCs w:val="24"/>
        </w:rPr>
        <w:t>(P04, infirmière — traduit du kinyarwanda)</w:t>
      </w:r>
    </w:p>
    <w:p>
      <w:pPr>
        <w:pStyle w:val="Normal"/>
        <w:spacing w:before="0" w:after="80"/>
        <w:jc w:val="both"/>
        <w:rPr/>
      </w:pPr>
      <w:r>
        <w:rPr>
          <w:i w:val="false"/>
          <w:iCs w:val="false"/>
        </w:rPr>
        <w:t>Cinq participants affirment au contraire donner la même explication à toutes. Le risque au-delà de la grossesse n'est évoqué que par 7 participants, certains le taisant faute de service vers lequel orienter la femme. Des contre-pratiques existent : faire reformuler la femme (4), utiliser un support visuel commun (2), refuser de classer les femmes par avance. Enfin, 2 infirmiers ou infirmières laissent l'explication à une collègue sage-femme.</w:t>
      </w:r>
    </w:p>
    <w:p>
      <w:pPr>
        <w:pStyle w:val="Normal"/>
        <w:spacing w:before="0" w:after="80"/>
        <w:jc w:val="both"/>
        <w:rPr/>
      </w:pPr>
      <w:r>
        <w:rPr>
          <w:i w:val="false"/>
          <w:iCs w:val="false"/>
        </w:rPr>
        <w:t>Un moment échappe à cette modulation : la séance d'éducation collective, tenue deux à trois matins par semaine avant les consultations, observée le jour de la visite dans 11 centres sur 15. Neuf participants la décrivent : la même information pour toutes les présentes, où la tension n'apparaît qu'à travers les signes de danger (thème observé dans 5 centres) et le sucre presque jamais ; elle commence avant l'arrivée des femmes des collines éloignées, et 4 participants notent qu'elle tient parfois lieu de restitution du résultat.</w:t>
      </w:r>
    </w:p>
    <w:p>
      <w:pPr>
        <w:pStyle w:val="Normal"/>
        <w:spacing w:lineRule="auto" w:line="240" w:before="60" w:after="40"/>
        <w:ind w:left="567" w:right="567"/>
        <w:jc w:val="both"/>
        <w:rPr>
          <w:sz w:val="24"/>
          <w:szCs w:val="24"/>
        </w:rPr>
      </w:pPr>
      <w:r>
        <w:rPr>
          <w:i/>
          <w:iCs/>
          <w:sz w:val="24"/>
          <w:szCs w:val="24"/>
        </w:rPr>
        <w:t>« Les femmes des collines du fond arrivent à dix heures, parfois onze heures, après deux heures de marche. Elles ont raté la séance. Et ce sont justement celles qui en auraient le plus besoin. »</w:t>
      </w:r>
    </w:p>
    <w:p>
      <w:pPr>
        <w:pStyle w:val="Normal"/>
        <w:spacing w:lineRule="auto" w:line="240" w:before="0" w:after="160"/>
        <w:ind w:left="567" w:right="567"/>
        <w:jc w:val="right"/>
        <w:rPr>
          <w:sz w:val="24"/>
          <w:szCs w:val="24"/>
        </w:rPr>
      </w:pPr>
      <w:r>
        <w:rPr>
          <w:sz w:val="24"/>
          <w:szCs w:val="24"/>
        </w:rPr>
        <w:t>(P03, sage-femme — traduit du kinyarwanda)</w:t>
      </w:r>
    </w:p>
    <w:p>
      <w:pPr>
        <w:pStyle w:val="Heading2"/>
        <w:spacing w:before="220" w:after="120"/>
        <w:rPr/>
      </w:pPr>
      <w:r>
        <w:rPr/>
        <w:t>5.3. Conditions perçues du dépistage (objectif spécifique 2)</w:t>
      </w:r>
    </w:p>
    <w:p>
      <w:pPr>
        <w:pStyle w:val="Heading3"/>
        <w:spacing w:before="180" w:after="100"/>
        <w:rPr/>
      </w:pPr>
      <w:r>
        <w:rPr/>
        <w:t>5.3.1. Conditions individuelles et organisationnelles</w:t>
      </w:r>
    </w:p>
    <w:p>
      <w:pPr>
        <w:pStyle w:val="Normal"/>
        <w:spacing w:before="0" w:after="80"/>
        <w:jc w:val="both"/>
        <w:rPr/>
      </w:pPr>
      <w:r>
        <w:rPr>
          <w:i w:val="false"/>
          <w:iCs w:val="false"/>
        </w:rPr>
        <w:t>Vingt participants sur 20 décrivent une préparation initiale absente ou insuffisante au dépistage du diabète gestationnel ; la formation continue, décisive quand elle a eu lieu, reste ponctuelle et nominative, et le savoir part avec la personne formée. La charge de travail (20 participants), la concurrence entre programmes (6) et l'absence de maintenance des appareils (5) limitent le dépistage ; un poste de constantes tenu par une personne dédiée est le facilitateur le plus cité.</w:t>
      </w:r>
    </w:p>
    <w:p>
      <w:pPr>
        <w:pStyle w:val="Heading3"/>
        <w:spacing w:before="180" w:after="100"/>
        <w:rPr/>
      </w:pPr>
      <w:r>
        <w:rPr/>
        <w:t>5.3.2. Thème 4 — Ce qui est compté existe</w:t>
      </w:r>
    </w:p>
    <w:p>
      <w:pPr>
        <w:pStyle w:val="Normal"/>
        <w:spacing w:before="0" w:after="80"/>
        <w:jc w:val="both"/>
        <w:rPr/>
      </w:pPr>
      <w:r>
        <w:rPr>
          <w:i w:val="false"/>
          <w:iCs w:val="false"/>
        </w:rPr>
        <w:t>Définition. Intrants, maintenance et attention de l'encadrement suivent les indicateurs ; le dépistage n'en fait pas partie. La supervision décrite porte sur la fréquentation et la complétude des registres ; aucun participant n'a eu à déclarer une tension élevée dépistée ou une glycémie réalisée, et plusieurs relient cette absence à la rupture des intrants.</w:t>
      </w:r>
    </w:p>
    <w:p>
      <w:pPr>
        <w:pStyle w:val="Normal"/>
        <w:spacing w:lineRule="auto" w:line="240" w:before="60" w:after="40"/>
        <w:ind w:left="567" w:right="567"/>
        <w:jc w:val="both"/>
        <w:rPr>
          <w:sz w:val="24"/>
          <w:szCs w:val="24"/>
        </w:rPr>
      </w:pPr>
      <w:r>
        <w:rPr>
          <w:i/>
          <w:iCs/>
          <w:sz w:val="24"/>
          <w:szCs w:val="24"/>
        </w:rPr>
        <w:t>« Le fer, on l'a toujours. La moustiquaire, on l'a toujours. Parce qu'ils sont dans les indicateurs. Les bandelettes de glycémie ne sont dans aucun indicateur, donc elles arrivent en dernier ou pas du tout. »</w:t>
      </w:r>
    </w:p>
    <w:p>
      <w:pPr>
        <w:pStyle w:val="Normal"/>
        <w:spacing w:lineRule="auto" w:line="240" w:before="0" w:after="160"/>
        <w:ind w:left="567" w:right="567"/>
        <w:jc w:val="right"/>
        <w:rPr>
          <w:sz w:val="24"/>
          <w:szCs w:val="24"/>
        </w:rPr>
      </w:pPr>
      <w:r>
        <w:rPr>
          <w:sz w:val="24"/>
          <w:szCs w:val="24"/>
        </w:rPr>
        <w:t>(P07, sage-femme)</w:t>
      </w:r>
    </w:p>
    <w:p>
      <w:pPr>
        <w:pStyle w:val="Heading3"/>
        <w:spacing w:before="180" w:after="100"/>
        <w:rPr/>
      </w:pPr>
      <w:r>
        <w:rPr/>
        <w:t>5.3.3. Thème 5 — Ce que change la dotation, et ce qu'elle ne change pas</w:t>
      </w:r>
    </w:p>
    <w:p>
      <w:pPr>
        <w:pStyle w:val="Normal"/>
        <w:spacing w:before="0" w:after="80"/>
        <w:jc w:val="both"/>
        <w:rPr/>
      </w:pPr>
      <w:r>
        <w:rPr>
          <w:i w:val="false"/>
          <w:iCs w:val="false"/>
        </w:rPr>
        <w:t>Définition. Des bandelettes en continu, un appareil entretenu et des prestataires formés rendent le test de la première CPN régulier et permettent de rattraper la femme manquée ; ils ne règlent ni le contrôle au troisième trimestre ni l'explication, et ils sont répartis au bénéfice des centres déjà les mieux placés. Six participants estiment que le lieu d'exercice décide de ce que reçoivent les femmes.</w:t>
      </w:r>
    </w:p>
    <w:p>
      <w:pPr>
        <w:pStyle w:val="Heading3"/>
        <w:spacing w:before="180" w:after="100"/>
        <w:rPr/>
      </w:pPr>
      <w:r>
        <w:rPr/>
        <w:t>5.3.4. Thème 3 — Trouver sans pouvoir suivre</w:t>
      </w:r>
    </w:p>
    <w:p>
      <w:pPr>
        <w:pStyle w:val="Normal"/>
        <w:spacing w:before="0" w:after="80"/>
        <w:jc w:val="both"/>
        <w:rPr/>
      </w:pPr>
      <w:r>
        <w:rPr>
          <w:i w:val="false"/>
          <w:iCs w:val="false"/>
        </w:rPr>
        <w:t>Définition. La détection ne devient une prise en charge que si la référence aboutit et si l'information revient. Devant une tension élevée, la conduite est la même partout (reprise, protéines, référence) ; la suite diverge : dans les centres éloignés, la référence dépend d'un véhicule, de l'argent de la famille et de la personne qui décide (9 participants) ; 15 participants rapportent l'absence de tout retour écrit de l'hôpital ; 4 décrivent des femmes dépistées qui, après l'accouchement, ne relèvent plus d'aucun service. La venue du conjoint attendue à la première CPN retarde des femmes à quatre ou cinq mois, et la glycémie avec elle (2 participantes) ; les aides de l'ubudehe fidélisent les plus pauvres, et la difficulté se déplace juste au-dessus du seuil (2 participants).</w:t>
      </w:r>
    </w:p>
    <w:p>
      <w:pPr>
        <w:pStyle w:val="Normal"/>
        <w:spacing w:before="0" w:after="80"/>
        <w:jc w:val="both"/>
        <w:rPr/>
      </w:pPr>
      <w:r>
        <w:rPr>
          <w:i w:val="false"/>
          <w:iCs w:val="false"/>
        </w:rPr>
        <w:t>Après le diagnostic, le suivi lui-même suit les moyens du ménage. Cinq participants rapportent que des femmes de ménages aisés s'achètent un tensiomètre ou un glucomètre et se surveillent à domicile, puis reviennent avec leurs chiffres ; les femmes des ménages modestes, souvent les plus éloignées du centre, n'ont que le rendez-vous.</w:t>
      </w:r>
    </w:p>
    <w:p>
      <w:pPr>
        <w:pStyle w:val="Normal"/>
        <w:spacing w:lineRule="auto" w:line="240" w:before="60" w:after="40"/>
        <w:ind w:left="567" w:right="567"/>
        <w:jc w:val="both"/>
        <w:rPr>
          <w:sz w:val="24"/>
          <w:szCs w:val="24"/>
        </w:rPr>
      </w:pPr>
      <w:r>
        <w:rPr>
          <w:i/>
          <w:iCs/>
          <w:sz w:val="24"/>
          <w:szCs w:val="24"/>
        </w:rPr>
        <w:t>« Mais ce sont des femmes de fonctionnaires ou de commerçants ; la femme qui cultive ne le pourra jamais, et c'est elle qui habite le plus loin. »</w:t>
      </w:r>
    </w:p>
    <w:p>
      <w:pPr>
        <w:pStyle w:val="Normal"/>
        <w:spacing w:lineRule="auto" w:line="240" w:before="0" w:after="160"/>
        <w:ind w:left="567" w:right="567"/>
        <w:jc w:val="right"/>
        <w:rPr>
          <w:sz w:val="24"/>
          <w:szCs w:val="24"/>
        </w:rPr>
      </w:pPr>
      <w:r>
        <w:rPr>
          <w:sz w:val="24"/>
          <w:szCs w:val="24"/>
        </w:rPr>
        <w:t>(P11, sage-femme)</w:t>
      </w:r>
    </w:p>
    <w:p>
      <w:pPr>
        <w:pStyle w:val="Heading3"/>
        <w:spacing w:before="180" w:after="100"/>
        <w:rPr/>
      </w:pPr>
      <w:r>
        <w:rPr/>
        <w:t>5.3.5. Conditions sociales perçues</w:t>
      </w:r>
    </w:p>
    <w:p>
      <w:pPr>
        <w:pStyle w:val="Normal"/>
        <w:spacing w:before="0" w:after="80"/>
        <w:jc w:val="both"/>
        <w:rPr/>
      </w:pPr>
      <w:r>
        <w:rPr>
          <w:i w:val="false"/>
          <w:iCs w:val="false"/>
        </w:rPr>
        <w:t>Les conditions sociales perçues sont dominées par la distance (18), le coût et la mutuelle (18) et l'instruction (18). Le recours tardif et le non-retour (20) sont attribués aux femmes par 2 participants, tandis que 9 désignent aussi le service : attente prolongée, visite sans résultat, rupture de matériel. Le recours aux guérisseurs (2) est décrit sans mépris, comme une ressource de proximité.</w:t>
      </w:r>
    </w:p>
    <w:p>
      <w:pPr>
        <w:pStyle w:val="Heading3"/>
        <w:spacing w:before="180" w:after="100"/>
        <w:rPr/>
      </w:pPr>
      <w:r>
        <w:rPr/>
        <w:t>5.3.6. Thème 6 — Le registre comme écran</w:t>
      </w:r>
    </w:p>
    <w:p>
      <w:pPr>
        <w:pStyle w:val="Normal"/>
        <w:spacing w:before="0" w:after="80"/>
        <w:jc w:val="both"/>
        <w:rPr/>
      </w:pPr>
      <w:r>
        <w:rPr>
          <w:i w:val="false"/>
          <w:iCs w:val="false"/>
        </w:rPr>
        <w:t>Définition. Un contrôle portant sur la complétude des registres produit de la complétude, et peut rendre invisible l'inégalité qu'il devrait révéler. Ce thème décrit un effet de système, jamais une faute individuelle, et n'est associé à aucun centre ; il repose surtout sur un entretien, corroboré par l'observation d'un registre (section 5.5).</w:t>
      </w:r>
    </w:p>
    <w:p>
      <w:pPr>
        <w:pStyle w:val="Normal"/>
        <w:spacing w:lineRule="auto" w:line="240" w:before="60" w:after="40"/>
        <w:ind w:left="567" w:right="567"/>
        <w:jc w:val="both"/>
        <w:rPr>
          <w:sz w:val="24"/>
          <w:szCs w:val="24"/>
        </w:rPr>
      </w:pPr>
      <w:r>
        <w:rPr>
          <w:i/>
          <w:iCs/>
          <w:sz w:val="24"/>
          <w:szCs w:val="24"/>
        </w:rPr>
        <w:t>« Dans le registre, toutes les femmes ont une tension. Dans la réalité, certaines n'en ont pas eu. Le registre dit que tout est égal ; c'est faux. Une inégalité qu'on ne voit pas, personne ne la corrigera. »</w:t>
      </w:r>
    </w:p>
    <w:p>
      <w:pPr>
        <w:pStyle w:val="Normal"/>
        <w:spacing w:lineRule="auto" w:line="240" w:before="0" w:after="160"/>
        <w:ind w:left="567" w:right="567"/>
        <w:jc w:val="right"/>
        <w:rPr>
          <w:sz w:val="24"/>
          <w:szCs w:val="24"/>
        </w:rPr>
      </w:pPr>
      <w:r>
        <w:rPr>
          <w:sz w:val="24"/>
          <w:szCs w:val="24"/>
        </w:rPr>
        <w:t>(P19)</w:t>
      </w:r>
    </w:p>
    <w:p>
      <w:pPr>
        <w:pStyle w:val="Heading3"/>
        <w:spacing w:before="180" w:after="100"/>
        <w:rPr/>
      </w:pPr>
      <w:r>
        <w:rPr/>
        <w:t>5.3.7. Thème 7 — Le dépistage hors des murs</w:t>
      </w:r>
    </w:p>
    <w:p>
      <w:pPr>
        <w:pStyle w:val="Normal"/>
        <w:spacing w:before="0" w:after="80"/>
        <w:jc w:val="both"/>
        <w:rPr/>
      </w:pPr>
      <w:r>
        <w:rPr>
          <w:i w:val="false"/>
          <w:iCs w:val="false"/>
        </w:rPr>
        <w:t>Définition. Relais communautaires et initiatives locales prolongent le dépistage là où le système ne prévoit rien ; ils reposent sur une personne. Deux participantes de centres ruraux s'appuient sur l'animatrice de santé maternelle (ASM) du village pour vérifier qu'une femme référée s'est rendue à l'hôpital , sans circuit formel de contre-référence. L'alerte que l'ASM envoie par téléphone organise l'urgence — convulsions, saignement — jusqu'à l'ambulance ; elle ne prévoit rien pour une femme référée pour une tension élevée qui ne se plaint de rien (2 participants).</w:t>
      </w:r>
    </w:p>
    <w:p>
      <w:pPr>
        <w:pStyle w:val="Heading2"/>
        <w:spacing w:before="220" w:after="120"/>
        <w:rPr/>
      </w:pPr>
      <w:r>
        <w:rPr/>
        <w:t>5.4. Portée reconnue en équité et transformations proposées</w:t>
      </w:r>
    </w:p>
    <w:p>
      <w:pPr>
        <w:pStyle w:val="Normal"/>
        <w:spacing w:before="0" w:after="80"/>
        <w:jc w:val="both"/>
        <w:rPr/>
      </w:pPr>
      <w:r>
        <w:rPr>
          <w:i w:val="false"/>
          <w:iCs w:val="false"/>
        </w:rPr>
        <w:t>Le mot « équité », jamais prononcé par l'enquêteur, apparaît spontanément dans 3 entretiens. Le jugement dominant est celui d'une inégalité inacceptable (16 participants), attribuée au système (13) mais aussi, pour 11 participants, à une part qui leur revient : l'explication. L'heure d'arrivée (8) et le lieu (6) sont des facteurs d'inégalité qui ne dépendent pas de la femme ; une minorité exprime une résignation (5) ou refuse de juger (2).</w:t>
      </w:r>
    </w:p>
    <w:p>
      <w:pPr>
        <w:pStyle w:val="Normal"/>
        <w:spacing w:before="0" w:after="80"/>
        <w:jc w:val="both"/>
        <w:rPr/>
      </w:pPr>
      <w:r>
        <w:rPr>
          <w:i w:val="false"/>
          <w:iCs w:val="false"/>
        </w:rPr>
        <w:t>Invités à désigner une priorité, les participants se partagent entre intrants, formation, personnel, référence et redevabilité. La proposition d'un indicateur (8 participants) vise le mécanisme du thème 4 plutôt que l'un de ses effets. D'autres proposent d'inscrire la tension et le sucre au programme des séances, ou de passer par l'umugoroba w'ababyeyi pour atteindre les maris (2).</w:t>
      </w:r>
    </w:p>
    <w:p>
      <w:pPr>
        <w:pStyle w:val="Heading2"/>
        <w:spacing w:before="220" w:after="120"/>
        <w:rPr/>
      </w:pPr>
      <w:r>
        <w:rPr/>
        <w:t>5.5. Triangulation et synthèse</w:t>
      </w:r>
    </w:p>
    <w:p>
      <w:pPr>
        <w:pStyle w:val="Normal"/>
        <w:spacing w:before="0" w:after="80"/>
        <w:jc w:val="both"/>
        <w:rPr/>
      </w:pPr>
      <w:r>
        <w:rPr>
          <w:i w:val="false"/>
          <w:iCs w:val="false"/>
        </w:rPr>
        <w:t>Sur les 15 centres observés, 8 ont fait l'objet d'un constat de confrontation entre propos et observation : 6 concordances et 2 écarts. L'observation a confirmé le circuit de la glycémie de la première CPN — bon de la CPN, test au laboratoire — là où il fonctionne, montré ses interruptions et le rattrapage là où il existe, et corroboré l'effet de registre du thème 6 et le contenu des séances d'éducation ; les écarts portent sur une mesure déclarée systématique et sur une explication déclarée individualisée. Les données de routine du district situent la part des premières CPN ayant reçu une glycémie entre 38 % et 95 % selon les centres, plus bas là où ruptures, pannes ou absences du laborantin se sont accumulées ; elles montrent aussi un premier contact plus tardif dans les secteurs les plus pauvres.</w:t>
      </w:r>
    </w:p>
    <w:p>
      <w:pPr>
        <w:pStyle w:val="Normal"/>
        <w:spacing w:before="0" w:after="80"/>
        <w:jc w:val="both"/>
        <w:rPr/>
      </w:pPr>
      <w:r>
        <w:rPr>
          <w:i w:val="false"/>
          <w:iCs w:val="false"/>
        </w:rPr>
        <w:t>Le tableau VI rassemble les sept thèmes : un dépistage qui dépend moins de la volonté des professionnels que de conditions qu'ils ne maîtrisent pas — bandelettes, appareil, laborantin, temps, véhicule, indicateur, moyens du ménage —, mais aussi d'une part qui leur revient : l'explication.</w:t>
      </w:r>
    </w:p>
    <w:p>
      <w:pPr>
        <w:pStyle w:val="Normal"/>
        <w:keepNext w:val="true"/>
        <w:spacing w:before="200" w:after="80"/>
        <w:rPr/>
      </w:pPr>
      <w:r>
        <w:rPr>
          <w:b/>
          <w:bCs/>
        </w:rPr>
        <w:t>Tableau VI. Synthèse des thèmes</w:t>
      </w:r>
    </w:p>
    <w:tbl>
      <w:tblPr>
        <w:tblW w:w="8787" w:type="dxa"/>
        <w:jc w:val="left"/>
        <w:tblInd w:w="0" w:type="dxa"/>
        <w:tblLayout w:type="fixed"/>
        <w:tblCellMar>
          <w:top w:w="60" w:type="dxa"/>
          <w:left w:w="100" w:type="dxa"/>
          <w:bottom w:w="60" w:type="dxa"/>
          <w:right w:w="100" w:type="dxa"/>
        </w:tblCellMar>
      </w:tblPr>
      <w:tblGrid>
        <w:gridCol w:w="3114"/>
        <w:gridCol w:w="1461"/>
        <w:gridCol w:w="4212"/>
      </w:tblGrid>
      <w:tr>
        <w:trPr>
          <w:tblHeader w:val="true"/>
        </w:trPr>
        <w:tc>
          <w:tcPr>
            <w:tcW w:w="3114"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Thème</w:t>
            </w:r>
          </w:p>
        </w:tc>
        <w:tc>
          <w:tcPr>
            <w:tcW w:w="1461"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Objectif</w:t>
            </w:r>
          </w:p>
        </w:tc>
        <w:tc>
          <w:tcPr>
            <w:tcW w:w="4212"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Énoncé</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T1. Un test pour toutes, sauf les jours où il manque quelque chose</w:t>
            </w:r>
          </w:p>
        </w:tc>
        <w:tc>
          <w:tcPr>
            <w:tcW w:w="14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OS1</w:t>
            </w:r>
          </w:p>
        </w:tc>
        <w:tc>
          <w:tcPr>
            <w:tcW w:w="42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Glycémie demandée pour toutes à la première CPN, faite au laboratoire ; sautée les jours de rupture, de panne ou sans laborantin, rarement rattrapée, non refaite à 24-28 semaines.</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T2. Expliquer moins à celles qui savent le moins</w:t>
            </w:r>
          </w:p>
        </w:tc>
        <w:tc>
          <w:tcPr>
            <w:tcW w:w="14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OS1</w:t>
            </w:r>
          </w:p>
        </w:tc>
        <w:tc>
          <w:tcPr>
            <w:tcW w:w="42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L'explication varie à l'inverse des besoins ; la séance collective, égale pour les présentes, ne restitue aucun résultat.</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T3. Trouver sans pouvoir suivre</w:t>
            </w:r>
          </w:p>
        </w:tc>
        <w:tc>
          <w:tcPr>
            <w:tcW w:w="14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2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La détection ne devient prise en charge que si la référence aboutit et si l'information revient ; l'autosurveillance après le diagnostic reste réservée aux ménages aisés.</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T4. Ce qui est compté existe</w:t>
            </w:r>
          </w:p>
        </w:tc>
        <w:tc>
          <w:tcPr>
            <w:tcW w:w="14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2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Intrants, maintenance et attention suivent les indicateurs ; le dépistage n'en fait pas partie.</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T5. Ce que change la dotation, et ce qu'elle ne change pas</w:t>
            </w:r>
          </w:p>
        </w:tc>
        <w:tc>
          <w:tcPr>
            <w:tcW w:w="14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2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Les intrants rendent le test initial régulier, pas le contrôle tardif ni l'explication.</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T6. Le registre comme écran</w:t>
            </w:r>
          </w:p>
        </w:tc>
        <w:tc>
          <w:tcPr>
            <w:tcW w:w="14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 équité</w:t>
            </w:r>
          </w:p>
        </w:tc>
        <w:tc>
          <w:tcPr>
            <w:tcW w:w="42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Un contrôle de complétude produit de la complétude et peut masquer l'inégalité.</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Normal"/>
              <w:keepNext w:val="true"/>
              <w:spacing w:lineRule="auto" w:line="240" w:before="40" w:after="40"/>
              <w:jc w:val="left"/>
              <w:rPr>
                <w:sz w:val="22"/>
                <w:szCs w:val="22"/>
              </w:rPr>
            </w:pPr>
            <w:r>
              <w:rPr>
                <w:b w:val="false"/>
                <w:bCs w:val="false"/>
                <w:i w:val="false"/>
                <w:iCs w:val="false"/>
                <w:sz w:val="22"/>
                <w:szCs w:val="22"/>
              </w:rPr>
              <w:t>T7. Le dépistage hors des murs</w:t>
            </w:r>
          </w:p>
        </w:tc>
        <w:tc>
          <w:tcPr>
            <w:tcW w:w="1461" w:type="dxa"/>
            <w:tcBorders>
              <w:top w:val="single" w:sz="4" w:space="0" w:color="000000"/>
              <w:left w:val="single" w:sz="4" w:space="0" w:color="000000"/>
              <w:bottom w:val="single" w:sz="4" w:space="0" w:color="000000"/>
              <w:right w:val="single" w:sz="4" w:space="0" w:color="000000"/>
            </w:tcBorders>
          </w:tcPr>
          <w:p>
            <w:pPr>
              <w:pStyle w:val="Normal"/>
              <w:keepNext w:val="true"/>
              <w:spacing w:lineRule="auto" w:line="240" w:before="40" w:after="40"/>
              <w:jc w:val="left"/>
              <w:rPr>
                <w:sz w:val="22"/>
                <w:szCs w:val="22"/>
              </w:rPr>
            </w:pPr>
            <w:r>
              <w:rPr>
                <w:b w:val="false"/>
                <w:bCs w:val="false"/>
                <w:i w:val="false"/>
                <w:iCs w:val="false"/>
                <w:sz w:val="22"/>
                <w:szCs w:val="22"/>
              </w:rPr>
              <w:t>OS2, transformations</w:t>
            </w:r>
          </w:p>
        </w:tc>
        <w:tc>
          <w:tcPr>
            <w:tcW w:w="4212" w:type="dxa"/>
            <w:tcBorders>
              <w:top w:val="single" w:sz="4" w:space="0" w:color="000000"/>
              <w:left w:val="single" w:sz="4" w:space="0" w:color="000000"/>
              <w:bottom w:val="single" w:sz="4" w:space="0" w:color="000000"/>
              <w:right w:val="single" w:sz="4" w:space="0" w:color="000000"/>
            </w:tcBorders>
          </w:tcPr>
          <w:p>
            <w:pPr>
              <w:pStyle w:val="Normal"/>
              <w:keepNext w:val="true"/>
              <w:spacing w:lineRule="auto" w:line="240" w:before="40" w:after="40"/>
              <w:jc w:val="left"/>
              <w:rPr>
                <w:sz w:val="22"/>
                <w:szCs w:val="22"/>
              </w:rPr>
            </w:pPr>
            <w:r>
              <w:rPr>
                <w:b w:val="false"/>
                <w:bCs w:val="false"/>
                <w:i w:val="false"/>
                <w:iCs w:val="false"/>
                <w:sz w:val="22"/>
                <w:szCs w:val="22"/>
              </w:rPr>
              <w:t>Les relais communautaires prolongent le dépistage ; l'alerte des ASM organise l'urgence, pas le contrôle.</w:t>
            </w:r>
          </w:p>
        </w:tc>
      </w:tr>
    </w:tbl>
    <w:p>
      <w:pPr>
        <w:pStyle w:val="Normal"/>
        <w:spacing w:before="60" w:after="200"/>
        <w:rPr>
          <w:sz w:val="22"/>
          <w:szCs w:val="22"/>
        </w:rPr>
      </w:pPr>
      <w:r>
        <w:rPr>
          <w:i/>
          <w:iCs/>
          <w:sz w:val="22"/>
          <w:szCs w:val="22"/>
        </w:rPr>
        <w:t>Source : mémo « Phase 5 — Définition et dénomination des thèmes » du projet QualiCode.</w:t>
      </w:r>
    </w:p>
    <w:sectPr>
      <w:footerReference w:type="even" r:id="rId2"/>
      <w:footerReference w:type="default" r:id="rId3"/>
      <w:type w:val="nextPage"/>
      <w:pgSz w:w="11906" w:h="16838"/>
      <w:pgMar w:left="1701" w:right="1418" w:gutter="0" w:header="0" w:top="1418" w:footer="709" w:bottom="1418"/>
      <w:pgNumType w:start="1"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888888"/>
        <w:sz w:val="16"/>
        <w:szCs w:val="16"/>
      </w:rPr>
      <w:t xml:space="preserve">MÉMOIRE NGOMA — MUKAKI DUNIA Jacques · chapitre 5 · version d'entraînement · </w:t>
    </w:r>
    <w:r>
      <w:rPr/>
      <w:fldChar w:fldCharType="begin"/>
    </w:r>
    <w:r>
      <w:rPr/>
      <w:instrText xml:space="preserve"> PAGE </w:instrText>
    </w:r>
    <w:r>
      <w:rPr/>
      <w:fldChar w:fldCharType="separate"/>
    </w:r>
    <w:r>
      <w:rPr/>
      <w:t>10</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default="1">
    <w:name w:val="Normal"/>
    <w:qFormat/>
    <w:pPr>
      <w:widowControl/>
      <w:bidi w:val="0"/>
      <w:spacing w:lineRule="auto" w:line="360" w:before="0" w:after="120"/>
      <w:jc w:val="both"/>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Normal"/>
    <w:next w:val="Normal"/>
    <w:qFormat/>
    <w:pPr>
      <w:keepNext w:val="true"/>
      <w:keepLines/>
      <w:spacing w:lineRule="auto" w:line="360" w:before="360" w:after="120"/>
      <w:jc w:val="left"/>
      <w:outlineLvl w:val="0"/>
    </w:pPr>
    <w:rPr>
      <w:rFonts w:ascii="Times New Roman" w:hAnsi="Times New Roman" w:eastAsia="Times New Roman" w:cs="Times New Roman"/>
      <w:b/>
      <w:bCs/>
      <w:i w:val="false"/>
      <w:iCs w:val="false"/>
      <w:color w:val="000000"/>
      <w:sz w:val="28"/>
      <w:szCs w:val="28"/>
    </w:rPr>
  </w:style>
  <w:style w:type="paragraph" w:styleId="Heading2">
    <w:name w:val="Heading 2"/>
    <w:basedOn w:val="Normal"/>
    <w:next w:val="Normal"/>
    <w:qFormat/>
    <w:pPr>
      <w:keepNext w:val="true"/>
      <w:keepLines/>
      <w:spacing w:lineRule="auto" w:line="360" w:before="240" w:after="120"/>
      <w:jc w:val="left"/>
      <w:outlineLvl w:val="1"/>
    </w:pPr>
    <w:rPr>
      <w:rFonts w:ascii="Times New Roman" w:hAnsi="Times New Roman" w:eastAsia="Times New Roman" w:cs="Times New Roman"/>
      <w:b/>
      <w:bCs/>
      <w:i w:val="false"/>
      <w:iCs w:val="false"/>
      <w:color w:val="000000"/>
      <w:sz w:val="28"/>
      <w:szCs w:val="28"/>
    </w:rPr>
  </w:style>
  <w:style w:type="paragraph" w:styleId="Heading3">
    <w:name w:val="Heading 3"/>
    <w:basedOn w:val="Normal"/>
    <w:next w:val="Normal"/>
    <w:qFormat/>
    <w:pPr>
      <w:keepNext w:val="true"/>
      <w:keepLines/>
      <w:spacing w:lineRule="auto" w:line="360" w:before="180" w:after="120"/>
      <w:jc w:val="left"/>
      <w:outlineLvl w:val="2"/>
    </w:pPr>
    <w:rPr>
      <w:rFonts w:ascii="Times New Roman" w:hAnsi="Times New Roman" w:eastAsia="Times New Roman" w:cs="Times New Roman"/>
      <w:b/>
      <w:bCs/>
      <w:i/>
      <w:iCs/>
      <w:color w:val="000000"/>
      <w:sz w:val="28"/>
      <w:szCs w:val="28"/>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extecompact">
    <w:name w:val="Texte compact"/>
    <w:basedOn w:val="Normal"/>
    <w:qFormat/>
    <w:pPr>
      <w:spacing w:lineRule="auto" w:line="360" w:before="0" w:after="80"/>
      <w:jc w:val="left"/>
    </w:pPr>
    <w:rPr>
      <w:rFonts w:ascii="Times New Roman" w:hAnsi="Times New Roman" w:eastAsia="Times New Roman" w:cs="Times New Roman"/>
      <w:sz w:val="28"/>
      <w:szCs w:val="28"/>
    </w:rPr>
  </w:style>
  <w:style w:type="paragraph" w:styleId="Titrecompact">
    <w:name w:val="Titre compact"/>
    <w:basedOn w:val="Textecompact"/>
    <w:next w:val="Textecompact"/>
    <w:qFormat/>
    <w:pPr>
      <w:keepNext w:val="true"/>
      <w:spacing w:before="160" w:after="80"/>
      <w:jc w:val="left"/>
    </w:pPr>
    <w:rPr>
      <w:b/>
      <w:bCs/>
    </w:rPr>
  </w:style>
  <w:style w:type="paragraph" w:styleId="Bibliographie">
    <w:name w:val="Bibliographie"/>
    <w:basedOn w:val="Normal"/>
    <w:qFormat/>
    <w:pPr>
      <w:spacing w:lineRule="auto" w:line="240" w:before="0" w:after="60"/>
      <w:ind w:hanging="567" w:left="567"/>
      <w:jc w:val="left"/>
    </w:pPr>
    <w:rPr>
      <w:rFonts w:ascii="Times New Roman" w:hAnsi="Times New Roman" w:eastAsia="Times New Roman" w:cs="Times New Roman"/>
      <w:sz w:val="28"/>
      <w:szCs w:val="28"/>
    </w:rPr>
  </w:style>
  <w:style w:type="paragraph" w:styleId="TOC1">
    <w:name w:val="TOC 1"/>
    <w:basedOn w:val="Normal"/>
    <w:next w:val="Normal"/>
    <w:pPr>
      <w:spacing w:lineRule="auto" w:line="360" w:before="0" w:after="0"/>
      <w:ind w:left="0"/>
      <w:jc w:val="left"/>
    </w:pPr>
    <w:rPr>
      <w:rFonts w:ascii="Times New Roman" w:hAnsi="Times New Roman" w:eastAsia="Times New Roman" w:cs="Times New Roman"/>
      <w:sz w:val="28"/>
      <w:szCs w:val="28"/>
    </w:rPr>
  </w:style>
  <w:style w:type="paragraph" w:styleId="TOC2">
    <w:name w:val="TOC 2"/>
    <w:basedOn w:val="Normal"/>
    <w:next w:val="Normal"/>
    <w:pPr>
      <w:spacing w:lineRule="auto" w:line="360" w:before="0" w:after="0"/>
      <w:ind w:left="240"/>
      <w:jc w:val="left"/>
    </w:pPr>
    <w:rPr>
      <w:rFonts w:ascii="Times New Roman" w:hAnsi="Times New Roman" w:eastAsia="Times New Roman" w:cs="Times New Roman"/>
      <w:sz w:val="28"/>
      <w:szCs w:val="28"/>
    </w:rPr>
  </w:style>
  <w:style w:type="paragraph" w:styleId="TOC3">
    <w:name w:val="TOC 3"/>
    <w:basedOn w:val="Normal"/>
    <w:next w:val="Normal"/>
    <w:pPr>
      <w:spacing w:lineRule="auto" w:line="360" w:before="0" w:after="0"/>
      <w:ind w:left="480"/>
      <w:jc w:val="left"/>
    </w:pPr>
    <w:rPr>
      <w:rFonts w:ascii="Times New Roman" w:hAnsi="Times New Roman" w:eastAsia="Times New Roman" w:cs="Times New Roman"/>
      <w:sz w:val="28"/>
      <w:szCs w:val="28"/>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2026-10-03T07:18:27Z</dcterms:created>
  <dc:creator>Un-named</dc:creator>
  <dc:description/>
  <dc:language>en-US</dc:language>
  <cp:lastModifiedBy>Un-named</cp:lastModifiedBy>
  <dcterms:modified xsi:type="dcterms:W3CDTF">2026-10-03T07:18:27Z</dcterms:modified>
  <cp:revision>1</cp:revision>
  <dc:subject/>
  <dc:title/>
</cp:coreProperties>
</file>