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sz w:val="22"/>
          <w:szCs w:val="22"/>
        </w:rPr>
        <w:t xml:space="preserve">UNIVERSITÉ DE PARAKOU — ENATSE</w:t>
      </w:r>
    </w:p>
    <w:p>
      <w:pPr>
        <w:spacing w:after="300"/>
        <w:jc w:val="center"/>
      </w:pPr>
      <w:r>
        <w:rPr>
          <w:sz w:val="20"/>
          <w:szCs w:val="20"/>
        </w:rPr>
        <w:t xml:space="preserve">Master en Santé publique — Promotion de la santé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L'équité d'accès au dépistage capacitant de l'hypertension artérielle et du diabète en consultation prénatale : perceptions et pratiques déclarées des infirmiers et sages-femmes de Ngoma (Rwanda)</w:t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Suivi de l'échantillon — matrice de variation (Tableau II)</w:t>
      </w:r>
    </w:p>
    <w:p/>
    <w:p>
      <w:pPr>
        <w:spacing w:after="60" w:before="60"/>
        <w:jc w:val="center"/>
      </w:pPr>
      <w:r>
        <w:rPr>
          <w:i/>
          <w:iCs/>
          <w:color w:val="7F8C8D"/>
          <w:sz w:val="18"/>
          <w:szCs w:val="18"/>
        </w:rPr>
        <w:t xml:space="preserve">Version d'entraînement — entretiens et observations fictifs, à remplacer par les données du terrain</w:t>
      </w:r>
    </w:p>
    <w:p/>
    <w:p>
      <w:pPr>
        <w:spacing w:after="80"/>
        <w:rPr>
          <w:sz w:val="20"/>
          <w:szCs w:val="20"/>
        </w:rPr>
      </w:pPr>
      <w:r>
        <w:rPr>
          <w:sz w:val="20"/>
          <w:szCs w:val="20"/>
        </w:rPr>
        <w:t xml:space="preserve">Couverture des sept dimensions de variation, calculée à partir des fiches.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Chercheur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MUKAKI DUNIA Jacques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ENATSE, Université de Parakou (Bénin) — Master en Santé publique, Promotion de la santé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Direction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Professeure N. Fanny M. HOUNKPONOU AHOUINGNAN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Période de collecte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 août – 30 septembre 2026 (période prévue au protocole, § 4.2.5.3)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Échantillon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 infirmiers ou infirmières et 10 sages-femmes, 15 centres de santé codés (CS01 à CS15), en deux vagues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Suivi de l'échantillon au regard du Tableau II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Deux vagues : la vague 1 (10 participants, 5 centres) puis la vague 2 (10 participants, les 10 autres centres). Ensemble, elles couvrent 15 des seize centres de santé du district (le seizième a servi au pré-test), dans la fourchette de seize à vingt-quatre participants du § 4.2.3.1.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Le protocole (§ 4.2.3.2, Tableau II) prescrit un échantillonnage raisonné à variation maximale portant sur sept dimensions. Le tableau de couverture ci-dessous est CALCULÉ à partir des fiches : c'est le contrôle à refaire pendant la collecte réelle, après chaque entretien.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800"/>
        <w:gridCol w:w="1250"/>
        <w:gridCol w:w="850"/>
        <w:gridCol w:w="1000"/>
        <w:gridCol w:w="850"/>
        <w:gridCol w:w="900"/>
        <w:gridCol w:w="876"/>
        <w:gridCol w:w="1200"/>
      </w:tblGrid>
      <w:tr>
        <w:trPr>
          <w:tblHeader/>
        </w:trPr>
        <w:tc>
          <w:tcPr>
            <w:tcW w:type="dxa" w:w="65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Code</w:t>
            </w:r>
          </w:p>
        </w:tc>
        <w:tc>
          <w:tcPr>
            <w:tcW w:type="dxa" w:w="65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Vague</w:t>
            </w:r>
          </w:p>
        </w:tc>
        <w:tc>
          <w:tcPr>
            <w:tcW w:type="dxa" w:w="80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Structure</w:t>
            </w:r>
          </w:p>
        </w:tc>
        <w:tc>
          <w:tcPr>
            <w:tcW w:type="dxa" w:w="125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Qualification</w:t>
            </w:r>
          </w:p>
        </w:tc>
        <w:tc>
          <w:tcPr>
            <w:tcW w:type="dxa" w:w="85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Titulaire</w:t>
            </w:r>
          </w:p>
        </w:tc>
        <w:tc>
          <w:tcPr>
            <w:tcW w:type="dxa" w:w="100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Anc. CPN</w:t>
            </w:r>
          </w:p>
        </w:tc>
        <w:tc>
          <w:tcPr>
            <w:tcW w:type="dxa" w:w="85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Secteur</w:t>
            </w:r>
          </w:p>
        </w:tc>
        <w:tc>
          <w:tcPr>
            <w:tcW w:type="dxa" w:w="90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Hôpital</w:t>
            </w:r>
          </w:p>
        </w:tc>
        <w:tc>
          <w:tcPr>
            <w:tcW w:type="dxa" w:w="876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Volume</w:t>
            </w:r>
          </w:p>
        </w:tc>
        <w:tc>
          <w:tcPr>
            <w:tcW w:type="dxa" w:w="120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Langue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P01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CS03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infirmier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urbain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proche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élevé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P02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CS03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sage-femme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urbain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proche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élevé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franç.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P03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CS07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sage-femme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mois-2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rural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éloignée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modéré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P04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CS07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infirmier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rural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éloignée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modéré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P05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CS11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infirmier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rural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éloignée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modéré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P06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CS11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sage-femme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mois-2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rural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éloignée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modéré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P07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CS02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sage-femme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urbain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proche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élevé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franç.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P08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CS02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infirmier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mois-2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urbain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proche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élevé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P09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CS14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infirmier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rural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éloignée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modéré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P10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CS14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sage-femme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rural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éloignée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modéré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P11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CS01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sage-femme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urbain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proche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élevé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franç.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P12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CS04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infirmier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rural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éloignée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modéré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P13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CS05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sage-femme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rural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éloignée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modéré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P14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CS06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infirmier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mois-2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urbain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proche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élevé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P15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CS08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sage-femme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rural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éloignée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modéré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P16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CS09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infirmier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mois-2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rural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éloignée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modéré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P17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CS10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sage-femme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mois-2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rural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éloignée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modéré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P18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CS12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infirmier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rural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éloignée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modéré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P19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CS13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sage-femme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rural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éloignée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élevé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franç.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P20</w:t>
            </w:r>
          </w:p>
        </w:tc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CS15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infirmier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2 ans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rural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éloignée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modéré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kinya.</w:t>
            </w:r>
          </w:p>
        </w:tc>
      </w:tr>
    </w:tbl>
    <w:p/>
    <w:p>
      <w:pPr>
        <w:pStyle w:val="Heading2"/>
        <w:spacing w:after="120" w:before="220"/>
      </w:pPr>
      <w:r>
        <w:t xml:space="preserve">Couverture des sept dimensions de variation (Tableau II)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Dimension (Tableau II)</w:t>
            </w:r>
          </w:p>
        </w:tc>
        <w:tc>
          <w:tcPr>
            <w:tcW w:type="dxa" w:w="240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Modalités recherchées</w:t>
            </w:r>
          </w:p>
        </w:tc>
        <w:tc>
          <w:tcPr>
            <w:tcW w:type="dxa" w:w="4426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Couverture dans l'échantillon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Qualification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Infirmiers ; sages-femmes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 infirmiers ou infirmières (P01, P04, P05, P08, P09, P12, P14, P16, P18, P20) · 10 sages-femmes (P02, P03, P06, P07, P10, P11, P13, P15, P17, P19)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Fonction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Prestataires ; infirmiers titulaires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 titulaires (P01, P05, P09, P12, P16) · 15 prestataires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Ancienneté en CPN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mois-2 ans ; plus de 2 ans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de 6 mois à 2 ans (P03, P06, P08, P14, P16, P17) · 14 de plus de 2 ans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Secteur d'implantation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Urbain ; rural périphérique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urbains (CS01, CS02, CS03, CS06) · 14 ruraux (CS04, CS05, CS07, CS08, CS09, CS10, CS11, CS12, CS13, CS14, CS15)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Distance à l'hôpital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Proche ; éloignée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proches · 14 éloignés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Volume d'activité prénatale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Élevé ; modéré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 en volume élevé · 13 en volume modéré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Profil socio-économique du secteur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Pauvreté plus élevée ; plus faible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 en secteur de pauvreté plus élevée · 6 en secteur de pauvreté plus faible</w:t>
            </w:r>
          </w:p>
        </w:tc>
      </w:tr>
    </w:tbl>
    <w:p/>
    <w:p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Le protocole ne clôt pas la collecte sur un nombre : la suffisance informationnelle s'argumente dimension par dimension. Le projet QualiCode contient un mémo qui s'y exerce.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733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26567D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2E6DA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2026-10-03T07:18:28.175Z</dcterms:created>
  <dcterms:modified xsi:type="dcterms:W3CDTF">2026-10-03T07:18:28.175Z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