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Dédicace et remerciements personnels : rédigés selon vos choix du 7 octobre 2026, sans aucun nom propre ; à relire, et à compléter si vous souhaitez nommer votre épouse, vos enfants, vos parents ou d'autres proches (père décédé, mère en vie : précisé par l'auteur le 7 octobre 2026). Hommages aux membres du jury : à écrire après sa désignation, les noms n'étant connus qu'à ce moment.</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Liste du personnel de l'École : reprise de la liste officielle du Master transmise par l'auteur (année académique 2024-2025), sur une page, en tableau (11 pt, interligne simple) ; l'intitulé complet de l'École figure sur la page de garde. Vérifier qu'elle est à jour pour l'année du dépôt. Écart à signaler : cette liste indique « Directrice adjointe : Pr Fanny HOUNKPONOU AHOUINGNAN », alors que la page de garde et l'hommage, repris du protocole, la présentent comme « Directrice de l'ENATSE-UP » ; à corriger dans un sens ou dans l'autre selon sa fonction réelle.</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rubriques A bis et B bis de la grille ; relances du guide ; carte du NISR ; coquille « capacitances » ; durée de l'entretien harmonisée à soixante minutes, soixante-quinze au plus ; budget ramené à 410 000 RWF (enregistreur et transcription retirés ; licence NVivo maintenue))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Les centres sont seulement nommés, sans leur secteur administratif (décision de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d'analyse d'entraînement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Logiciel d'analyse : NVivo, nommé dans le protocole, le mémoire et le rapport (décision de l'auteur : QualiCode, qui fonctionne comme NVivo mais n'a pas d'homologation scientifique, sert à l'entraînement). L'analyse réelle doit donc être conduite dans NVivo, ou le projet y être transféré (export REFI-QDA) avant l'analyse et l'archivage.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2026-10-07T15:23:35.408Z</dcterms:created>
  <dcterms:modified xsi:type="dcterms:W3CDTF">2026-10-07T15:23:35.408Z</dcterms:modified>
</cp:coreProperties>
</file>

<file path=docProps/custom.xml><?xml version="1.0" encoding="utf-8"?>
<Properties xmlns="http://schemas.openxmlformats.org/officeDocument/2006/custom-properties" xmlns:vt="http://schemas.openxmlformats.org/officeDocument/2006/docPropsVTypes"/>
</file>