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Discussion, à partir des résultats du chapitre 5.</w:t>
      </w:r>
    </w:p>
    <w:p>
      <w:pPr>
        <w:spacing w:after="80"/>
        <w:rPr>
          <w:sz w:val="20"/>
          <w:szCs w:val="20"/>
        </w:rPr>
      </w:pPr>
      <w:r>
        <w:rPr>
          <w:sz w:val="20"/>
          <w:szCs w:val="20"/>
        </w:rPr>
        <w:t xml:space="preserve"/>
      </w:r>
    </w:p>
    <w:p>
      <w:pPr>
        <w:spacing w:after="80"/>
        <w:rPr>
          <w:sz w:val="20"/>
          <w:szCs w:val="20"/>
        </w:rPr>
      </w:pPr>
      <w:r>
        <w:rPr>
          <w:sz w:val="20"/>
          <w:szCs w:val="20"/>
        </w:rPr>
        <w:t xml:space="preserve">Les références du protocole sont citées par leur numéro, uniquement lorsque le protocole en donne le contenu. Les références complémentaires [C1], [C2]… sont proposées et doivent être vérifiées dans leur source avant usage. Les mentions surlignées en jaune marquent les endroits où insérer une référence de votre revue de littérature.</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La discussion du mémoire réel portera sur les résultats réels et ne reprendra rien de celle-ci.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en deux vagues</w:t>
            </w:r>
          </w:p>
        </w:tc>
      </w:tr>
    </w:tbl>
    <w:p>
      <w:r>
        <w:br w:type="page"/>
      </w:r>
    </w:p>
    <w:p>
      <w:pPr>
        <w:pStyle w:val="Heading1"/>
        <w:spacing w:after="160" w:before="280"/>
      </w:pPr>
      <w:r>
        <w:t xml:space="preserve">6. DISCUSSION</w:t>
      </w:r>
    </w:p>
    <w:p>
      <w:pPr>
        <w:spacing w:after="140"/>
        <w:jc w:val="both"/>
      </w:pPr>
      <w:r>
        <w:rPr>
          <w:sz w:val="22"/>
          <w:szCs w:val="22"/>
        </w:rPr>
        <w:t xml:space="preserve">Ce chapitre discute les résultats au regard des objectifs de l'étude, du cadre conceptuel et de l'état des connaissances présenté dans la revue de littérature. Il rappelle d'abord les principaux résultats, les confronte ensuite à la littérature thème par thème, revient sur le cadre conceptuel, examine les forces et les limites de l'étude, et en tire des implications pour la pratique et la recherche.</w:t>
      </w:r>
    </w:p>
    <w:tbl>
      <w:tblPr>
        <w:tblW w:type="dxa" w:w="9026"/>
        <w:tblBorders>
          <w:top w:val="single" w:color="7F8C8D" w:sz="6"/>
          <w:left w:val="single" w:color="7F8C8D" w:sz="6"/>
          <w:bottom w:val="single" w:color="7F8C8D" w:sz="6"/>
          <w:right w:val="single" w:color="7F8C8D" w:sz="6"/>
          <w:insideH w:val="single" w:color="auto" w:sz="4"/>
          <w:insideV w:val="single" w:color="auto" w:sz="4"/>
        </w:tblBorders>
      </w:tblPr>
      <w:tblGrid>
        <w:gridCol w:w="9026"/>
      </w:tblGrid>
      <w:tr>
        <w:tc>
          <w:tcPr>
            <w:tcW w:type="dxa" w:w="9026"/>
            <w:shd w:fill="F4F6F8" w:color="auto" w:val="clear"/>
            <w:tcMar>
              <w:top w:type="dxa" w:w="100"/>
              <w:left w:type="dxa" w:w="160"/>
              <w:bottom w:type="dxa" w:w="100"/>
              <w:right w:type="dxa" w:w="160"/>
            </w:tcMar>
          </w:tcPr>
          <w:p>
            <w:r>
              <w:rPr>
                <w:b/>
                <w:bCs/>
                <w:sz w:val="20"/>
                <w:szCs w:val="20"/>
              </w:rPr>
              <w:t xml:space="preserve">Références de cet exercice</w:t>
            </w:r>
          </w:p>
          <w:p>
            <w:r>
              <w:rPr>
                <w:sz w:val="19"/>
                <w:szCs w:val="19"/>
              </w:rPr>
              <w:t xml:space="preserve">Les numéros entre crochets renvoient à la bibliographie du protocole. Les références notées [C1], [C2]… sont des références complémentaires proposées, à vérifier dans leur source avant de les intégrer. Les mentions surlignées « [réf. revue § …] » marquent les endroits où insérer une référence de votre propre revue de littérature : c'est le cœur de l'exercice.</w:t>
            </w:r>
          </w:p>
        </w:tc>
      </w:tr>
    </w:tbl>
    <w:p/>
    <w:p>
      <w:pPr>
        <w:pStyle w:val="Heading2"/>
        <w:spacing w:after="120" w:before="220"/>
      </w:pPr>
      <w:r>
        <w:t xml:space="preserve">6.1. Rappel des principaux résultats</w:t>
      </w:r>
    </w:p>
    <w:p>
      <w:pPr>
        <w:spacing w:after="140"/>
        <w:jc w:val="both"/>
      </w:pPr>
      <w:r>
        <w:rPr>
          <w:sz w:val="22"/>
          <w:szCs w:val="22"/>
        </w:rPr>
        <w:t xml:space="preserve">L'étude visait à analyser les perceptions et les pratiques déclarées des infirmiers et sages-femmes à l'égard du dépistage de l'hypertension et du diabète en consultation prénatale, ainsi que la portée qu'ils reconnaissent en matière d'équité. Trois résultats dominent. Premièrement, le dépistage est « coupé en deux » : la mesure de la tension est un geste intégré, tandis que la recherche du diabète dépend des moyens du centre et n'était réalisable, le jour de l'observation, que dans 5 centres sur 16. Deuxièmement, la part informative du dépistage, celle qui fonde la capacité de la femme à agir, est modulée selon l'heure, la charge et l'idée que le soignant se fait de la femme, à l'inverse des besoins ; 18 participants le décrivent eux-mêmes. Troisièmement, les conditions qui limitent le dépistage relèvent surtout du système : indicateurs, approvisionnement, référence sans retour d'information, rupture à l'accouchement ; mais une majorité de participants reconnaissent aussi une part qui leur revient.</w:t>
      </w:r>
    </w:p>
    <w:p>
      <w:pPr>
        <w:pStyle w:val="Heading2"/>
        <w:spacing w:after="120" w:before="220"/>
      </w:pPr>
      <w:r>
        <w:t xml:space="preserve">6.2. Discussion des résultats</w:t>
      </w:r>
    </w:p>
    <w:p>
      <w:pPr>
        <w:pStyle w:val="Heading3"/>
        <w:spacing w:after="100" w:before="180"/>
      </w:pPr>
      <w:r>
        <w:t xml:space="preserve">6.2.1. Une plateforme réelle, mais un dépistage incomplet</w:t>
      </w:r>
    </w:p>
    <w:p>
      <w:pPr>
        <w:spacing w:after="140"/>
        <w:jc w:val="both"/>
      </w:pPr>
      <w:r>
        <w:rPr>
          <w:sz w:val="22"/>
          <w:szCs w:val="22"/>
        </w:rPr>
        <w:t xml:space="preserve">La littérature présente la consultation prénatale comme le point de contact privilégié pour dépister l'hypertension et le diabète chez la femme jeune</w:t>
      </w:r>
      <w:r>
        <w:rPr>
          <w:sz w:val="22"/>
          <w:szCs w:val="22"/>
          <w:highlight w:val="yellow"/>
        </w:rPr>
        <w:t xml:space="preserve"> [réf. revue § 2.2.2]</w:t>
      </w:r>
      <w:r>
        <w:rPr>
          <w:sz w:val="22"/>
          <w:szCs w:val="22"/>
        </w:rPr>
        <w:t xml:space="preserve"> [C1]</w:t>
      </w:r>
      <w:r>
        <w:rPr>
          <w:sz w:val="22"/>
          <w:szCs w:val="22"/>
        </w:rPr>
        <w:t xml:space="preserve">. Les participants partagent sans réserve cette lecture : tous reconnaissent le dépistage comme relevant du mandat de la CPN, et plusieurs y voient la seule occasion de rencontrer régulièrement une femme en bonne santé apparente. Nos résultats confirment donc la valeur de la plateforme, mais ils montrent ce que l'annexe 8 du protocole désignait comme une lacune : la CPN y est un espace de travail contraint, et non une opportunité théorique.</w:t>
      </w:r>
    </w:p>
    <w:p>
      <w:pPr>
        <w:spacing w:after="140"/>
        <w:jc w:val="both"/>
      </w:pPr>
      <w:r>
        <w:rPr>
          <w:sz w:val="22"/>
          <w:szCs w:val="22"/>
        </w:rPr>
        <w:t xml:space="preserve">Le contraste entre tension et glycémie appelle une interprétation qui dépasse le constat d'un manque d'équipement. Là où le geste est impossible, il cesse d'être pensé ; la compétence acquise en formation s'érode. Ce désinvestissement par impuissance, décrit par plusieurs participants, signifie qu'une dotation tardive ne retrouvera pas intacte la compétence qu'elle suppose. Il éclaire aussi une question laissée ouverte par la revue : la valeur rapportée pour le Rwanda, inférieure aux estimations régionales (annexe 8)</w:t>
      </w:r>
      <w:r>
        <w:rPr>
          <w:sz w:val="22"/>
          <w:szCs w:val="22"/>
          <w:highlight w:val="yellow"/>
        </w:rPr>
        <w:t xml:space="preserve"> [réf. revue § 2.2.6]</w:t>
      </w:r>
      <w:r>
        <w:rPr>
          <w:sz w:val="22"/>
          <w:szCs w:val="22"/>
        </w:rPr>
        <w:t xml:space="preserve">, et le sous-diagnostic persistant décrit en Afrique subsaharienne</w:t>
      </w:r>
      <w:r>
        <w:rPr>
          <w:sz w:val="22"/>
          <w:szCs w:val="22"/>
        </w:rPr>
        <w:t xml:space="preserve"> [6,9]</w:t>
      </w:r>
      <w:r>
        <w:rPr>
          <w:sz w:val="22"/>
          <w:szCs w:val="22"/>
        </w:rPr>
        <w:t xml:space="preserve"> ne peuvent être interprétés sans connaître les pratiques de dépistage qui produisent ces chiffres. Si la glycémie n'est recherchée que dans une minorité de centres, une partie de l'écart pourrait tenir au dépistage lui-même plutôt qu'à une moindre fréquence de la maladie. L'étude ne permet pas de le mesurer, mais elle invite à ne pas lire ces chiffres comme une donnée épidémiologique pure.</w:t>
      </w:r>
    </w:p>
    <w:p>
      <w:pPr>
        <w:pStyle w:val="Heading3"/>
        <w:spacing w:after="100" w:before="180"/>
      </w:pPr>
      <w:r>
        <w:t xml:space="preserve">6.2.2. Le prestataire, opérateur concret de l'équité</w:t>
      </w:r>
    </w:p>
    <w:p>
      <w:pPr>
        <w:spacing w:after="140"/>
        <w:jc w:val="both"/>
      </w:pPr>
      <w:r>
        <w:rPr>
          <w:sz w:val="22"/>
          <w:szCs w:val="22"/>
        </w:rPr>
        <w:t xml:space="preserve">Le résultat le plus original de l'étude concerne la pratique informative. La revue établit un gradient social du recours aux soins et des obstacles socioculturels documentés du point de vue des femmes</w:t>
      </w:r>
      <w:r>
        <w:rPr>
          <w:sz w:val="22"/>
          <w:szCs w:val="22"/>
          <w:highlight w:val="yellow"/>
        </w:rPr>
        <w:t xml:space="preserve"> [réf. revue § 2.2.4]</w:t>
      </w:r>
      <w:r>
        <w:rPr>
          <w:sz w:val="22"/>
          <w:szCs w:val="22"/>
        </w:rPr>
        <w:t xml:space="preserve"> [51]</w:t>
      </w:r>
      <w:r>
        <w:rPr>
          <w:sz w:val="22"/>
          <w:szCs w:val="22"/>
        </w:rPr>
        <w:t xml:space="preserve">. Nos résultats en livrent la lecture par les prestataires, et cette lecture va au-delà d'un inventaire d'obstacles : elle décrit un mécanisme par lequel le service lui-même reproduit l'inégalité. L'explication la plus complète va aux femmes instruites, arrivées tôt, qui posent des questions ; la plus brève va à celles qui n'ont pas d'autre source d'information. Cette distribution rappelle la « loi inverse des soins » formulée par Tudor Hart, selon laquelle la disponibilité de soins de qualité varie en sens inverse des besoins de la population servie</w:t>
      </w:r>
      <w:r>
        <w:rPr>
          <w:sz w:val="22"/>
          <w:szCs w:val="22"/>
        </w:rPr>
        <w:t xml:space="preserve"> [C2]</w:t>
      </w:r>
      <w:r>
        <w:rPr>
          <w:sz w:val="22"/>
          <w:szCs w:val="22"/>
        </w:rPr>
        <w:t xml:space="preserve">. Elle s'observe ici à l'échelle la plus fine : quelques minutes d'explication, au sein d'une même salle, le même matin.</w:t>
      </w:r>
    </w:p>
    <w:p>
      <w:pPr>
        <w:spacing w:after="140"/>
        <w:jc w:val="both"/>
      </w:pPr>
      <w:r>
        <w:rPr>
          <w:sz w:val="22"/>
          <w:szCs w:val="22"/>
        </w:rPr>
        <w:t xml:space="preserve">Au regard du cadre, ce résultat touche directement l'axe « acquérir des aptitudes individuelles » de la Charte d'Ottawa</w:t>
      </w:r>
      <w:r>
        <w:rPr>
          <w:sz w:val="22"/>
          <w:szCs w:val="22"/>
        </w:rPr>
        <w:t xml:space="preserve"> [23]</w:t>
      </w:r>
      <w:r>
        <w:rPr>
          <w:sz w:val="22"/>
          <w:szCs w:val="22"/>
        </w:rPr>
        <w:t xml:space="preserve">. Le dépistage n'est capacitant que si la femme repart en sachant ce que signifie le chiffre et ce qu'elle peut faire. Or la littératie en santé, que Nutbeam décline en niveaux fonctionnel, interactif et critique</w:t>
      </w:r>
      <w:r>
        <w:rPr>
          <w:sz w:val="22"/>
          <w:szCs w:val="22"/>
        </w:rPr>
        <w:t xml:space="preserve"> [C3]</w:t>
      </w:r>
      <w:r>
        <w:rPr>
          <w:sz w:val="22"/>
          <w:szCs w:val="22"/>
        </w:rPr>
        <w:t xml:space="preserve">, est précisément inégalement distribuée entre les femmes que décrivent les participants. Une explication qui se raccourcit devant les femmes les moins instruites transforme une inégalité de littératie en inégalité de capacité d'agir.</w:t>
      </w:r>
    </w:p>
    <w:p>
      <w:pPr>
        <w:spacing w:after="140"/>
        <w:jc w:val="both"/>
      </w:pPr>
      <w:r>
        <w:rPr>
          <w:sz w:val="22"/>
          <w:szCs w:val="22"/>
        </w:rPr>
        <w:t xml:space="preserve">Deux nuances s'imposent. D'une part, les participants ne décrivent pas un choix délibéré mais un arbitrage sous contrainte de temps : cette conduite correspond à ce que Lipsky a décrit comme le rationnement pratiqué par les agents de première ligne lorsque la demande excède les moyens</w:t>
      </w:r>
      <w:r>
        <w:rPr>
          <w:sz w:val="22"/>
          <w:szCs w:val="22"/>
        </w:rPr>
        <w:t xml:space="preserve"> [C4]</w:t>
      </w:r>
      <w:r>
        <w:rPr>
          <w:sz w:val="22"/>
          <w:szCs w:val="22"/>
        </w:rPr>
        <w:t xml:space="preserve">. D'autre part, des contre-pratiques existent : faire reformuler la femme, utiliser une image commune, refuser de classer les femmes par avance. Elles suggèrent que la modulation n'est pas une fatalité. Elles rejoignent le principe d'universalisme proportionné, selon lequel l'action doit être universelle, mais d'une ampleur et d'une intensité proportionnelles au niveau de désavantage</w:t>
      </w:r>
      <w:r>
        <w:rPr>
          <w:sz w:val="22"/>
          <w:szCs w:val="22"/>
        </w:rPr>
        <w:t xml:space="preserve"> [C5]</w:t>
      </w:r>
      <w:r>
        <w:rPr>
          <w:sz w:val="22"/>
          <w:szCs w:val="22"/>
        </w:rPr>
        <w:t xml:space="preserve"> : la participante qui s'efforce de consacrer plus de temps aux femmes qui comprennent le moins en est une application spontanée.</w:t>
      </w:r>
    </w:p>
    <w:p>
      <w:pPr>
        <w:pStyle w:val="Heading3"/>
        <w:spacing w:after="100" w:before="180"/>
      </w:pPr>
      <w:r>
        <w:t xml:space="preserve">6.2.3. Ce qui est compté existe, et ce qui est compté peut tromper</w:t>
      </w:r>
    </w:p>
    <w:p>
      <w:pPr>
        <w:spacing w:after="140"/>
        <w:jc w:val="both"/>
      </w:pPr>
      <w:r>
        <w:rPr>
          <w:sz w:val="22"/>
          <w:szCs w:val="22"/>
        </w:rPr>
        <w:t xml:space="preserve">Les participants attribuent la rupture des intrants, l'absence de maintenance et le peu d'attention de l'encadrement à un même mécanisme : le dépistage ne figure dans aucun indicateur. La revue a montré que les dispositifs nationaux de promotion de la santé sont structurés</w:t>
      </w:r>
      <w:r>
        <w:rPr>
          <w:sz w:val="22"/>
          <w:szCs w:val="22"/>
          <w:highlight w:val="yellow"/>
        </w:rPr>
        <w:t xml:space="preserve"> [réf. revue § 2.2.5]</w:t>
      </w:r>
      <w:r>
        <w:rPr>
          <w:sz w:val="22"/>
          <w:szCs w:val="22"/>
        </w:rPr>
        <w:t xml:space="preserve">, mais qu'aucun ne porte la jonction entre santé maternelle et maladies chroniques. Nos résultats précisent comment cette absence se traduit au niveau d'un centre : ce qui n'est pas compté n'est ni commandé, ni réparé, ni supervisé.</w:t>
      </w:r>
    </w:p>
    <w:p>
      <w:pPr>
        <w:spacing w:after="140"/>
        <w:jc w:val="both"/>
      </w:pPr>
      <w:r>
        <w:rPr>
          <w:sz w:val="22"/>
          <w:szCs w:val="22"/>
        </w:rPr>
        <w:t xml:space="preserve">Le thème du registre comme écran en est le revers. Lorsqu'un contrôle porte sur la complétude d'un registre plutôt que sur l'acte qu'il enregistre, il produit de la complétude. Ce mécanisme est connu en évaluation des politiques publiques : plus un indicateur quantitatif sert à la décision, plus il est exposé aux pressions qui le corrompent et déforment les pratiques qu'il devait mesurer</w:t>
      </w:r>
      <w:r>
        <w:rPr>
          <w:sz w:val="22"/>
          <w:szCs w:val="22"/>
        </w:rPr>
        <w:t xml:space="preserve"> [C6]</w:t>
      </w:r>
      <w:r>
        <w:rPr>
          <w:sz w:val="22"/>
          <w:szCs w:val="22"/>
        </w:rPr>
        <w:t xml:space="preserve">. Il rejoint la réserve formulée dans le protocole sur la faible concordance entre les indicateurs prénatals du système d'information et les registres (annexe 9). La portée de ce résultat doit cependant être bornée : il repose principalement sur un entretien, corroboré par une observation. Il ne permet aucune estimation de fréquence ; il signale un risque que la supervision devrait vérifier.</w:t>
      </w:r>
    </w:p>
    <w:p>
      <w:pPr>
        <w:spacing w:after="140"/>
        <w:jc w:val="both"/>
      </w:pPr>
      <w:r>
        <w:rPr>
          <w:sz w:val="22"/>
          <w:szCs w:val="22"/>
        </w:rPr>
        <w:t xml:space="preserve">Pris ensemble, ces deux thèmes montrent qu'ajouter un indicateur ne suffit pas : l'indicateur doit porter sur l'acte et sa suite (mesure réalisée, résultat anormal, référence aboutie) et être vérifié par l'observation, faute de quoi il déplacerait l'écran plutôt qu'il ne le lèverait. Une proposition d'indicateur ou de redevabilité est d'ailleurs formulée par 8 participants.</w:t>
      </w:r>
    </w:p>
    <w:p>
      <w:pPr>
        <w:pStyle w:val="Heading3"/>
        <w:spacing w:after="100" w:before="180"/>
      </w:pPr>
      <w:r>
        <w:t xml:space="preserve">6.2.4. Du signalement à la prise en charge</w:t>
      </w:r>
    </w:p>
    <w:p>
      <w:pPr>
        <w:spacing w:after="140"/>
        <w:jc w:val="both"/>
      </w:pPr>
      <w:r>
        <w:rPr>
          <w:sz w:val="22"/>
          <w:szCs w:val="22"/>
        </w:rPr>
        <w:t xml:space="preserve">La revue inventoriait des facteurs limitants récurrents (formation, équipements, coordination, coût) sans montrer comment ils s'articulent dans l'expérience professionnelle</w:t>
      </w:r>
      <w:r>
        <w:rPr>
          <w:sz w:val="22"/>
          <w:szCs w:val="22"/>
          <w:highlight w:val="yellow"/>
        </w:rPr>
        <w:t xml:space="preserve"> [réf. revue § 2.2.3]</w:t>
      </w:r>
      <w:r>
        <w:rPr>
          <w:sz w:val="22"/>
          <w:szCs w:val="22"/>
        </w:rPr>
        <w:t xml:space="preserve">. Le thème « trouver sans pouvoir suivre » apporte cette articulation. La détection n'a de valeur que si trois maillons tiennent : le transport, la décision du ménage, le retour d'information de l'hôpital. Lorsque l'un cède, les participants décrivent un dépistage qui « s'arrête à la détection », un signalement plutôt qu'une prise en charge. L'absence de retour d'information, rapportée par 15 participants, prive en outre le centre de ce qui lui permettrait de suivre la femme après sa référence.</w:t>
      </w:r>
    </w:p>
    <w:p>
      <w:pPr>
        <w:spacing w:after="140"/>
        <w:jc w:val="both"/>
      </w:pPr>
      <w:r>
        <w:rPr>
          <w:sz w:val="22"/>
          <w:szCs w:val="22"/>
        </w:rPr>
        <w:t xml:space="preserve">Au regard du cadre, ces résultats relèvent de l'axe « créer des milieux favorables » de la Charte d'Ottawa</w:t>
      </w:r>
      <w:r>
        <w:rPr>
          <w:sz w:val="22"/>
          <w:szCs w:val="22"/>
        </w:rPr>
        <w:t xml:space="preserve"> [23]</w:t>
      </w:r>
      <w:r>
        <w:rPr>
          <w:sz w:val="22"/>
          <w:szCs w:val="22"/>
        </w:rPr>
        <w:t xml:space="preserve">, dans sa dimension de coordination et de référence. Ils mettent en évidence deux discontinuités que la littérature consultée traite peu : la sortie du suivi à l'accouchement, alors que la grossesse peut révéler ces affections pour la première fois</w:t>
      </w:r>
      <w:r>
        <w:rPr>
          <w:sz w:val="22"/>
          <w:szCs w:val="22"/>
        </w:rPr>
        <w:t xml:space="preserve"> [4,5]</w:t>
      </w:r>
      <w:r>
        <w:rPr>
          <w:sz w:val="22"/>
          <w:szCs w:val="22"/>
        </w:rPr>
        <w:t xml:space="preserve"> et que le risque se prolonge au-delà</w:t>
      </w:r>
      <w:r>
        <w:rPr>
          <w:sz w:val="22"/>
          <w:szCs w:val="22"/>
          <w:highlight w:val="yellow"/>
        </w:rPr>
        <w:t xml:space="preserve"> [réf. revue § 2.2.3]</w:t>
      </w:r>
      <w:r>
        <w:rPr>
          <w:sz w:val="22"/>
          <w:szCs w:val="22"/>
        </w:rPr>
        <w:t xml:space="preserve">, et la mobilité des femmes, que l'organisation du suivi, centrée sur le centre plutôt que sur la femme, ne prend pas en compte. Ce sont, pour les participants, les points où les femmes dépistées sont le plus souvent perdues.</w:t>
      </w:r>
    </w:p>
    <w:p>
      <w:pPr>
        <w:pStyle w:val="Heading3"/>
        <w:spacing w:after="100" w:before="180"/>
      </w:pPr>
      <w:r>
        <w:t xml:space="preserve">6.2.5. Des arrangements locaux, efficaces et fragiles</w:t>
      </w:r>
    </w:p>
    <w:p>
      <w:pPr>
        <w:spacing w:after="140"/>
        <w:jc w:val="both"/>
      </w:pPr>
      <w:r>
        <w:rPr>
          <w:sz w:val="22"/>
          <w:szCs w:val="22"/>
        </w:rPr>
        <w:t xml:space="preserve">Le protocole annonçait qu'une jonction non portée par les dispositifs nationaux reposerait sur l'initiative des équipes (annexe 8). Les résultats le confirment : relais assurés par les agents de santé communautaire, affiche dessinée à la main, cahier de suivi après l'accouchement. Ces arrangements réduisent une partie des écarts décrits ailleurs ; ils déplacent aussi l'inégalité vers une nouvelle ligne de partage, entre les villages qui disposent d'un agent actif et les autres. Le programme rwandais de santé communautaire</w:t>
      </w:r>
      <w:r>
        <w:rPr>
          <w:sz w:val="22"/>
          <w:szCs w:val="22"/>
          <w:highlight w:val="yellow"/>
        </w:rPr>
        <w:t xml:space="preserve"> [réf. revue § 2.2.5]</w:t>
      </w:r>
      <w:r>
        <w:rPr>
          <w:sz w:val="22"/>
          <w:szCs w:val="22"/>
        </w:rPr>
        <w:t xml:space="preserve"> offre un appui institutionnel à ces relais, mais les participants décrivent des initiatives qu'aucun outil officiel ne reconnaît et qui reposent sur une personne. Leur fragilité n'est pas une limite de ces initiatives : c'est l'indice qu'elles comblent un vide que le système devrait combler lui-même.</w:t>
      </w:r>
    </w:p>
    <w:p>
      <w:pPr>
        <w:pStyle w:val="Heading3"/>
        <w:spacing w:after="100" w:before="180"/>
      </w:pPr>
      <w:r>
        <w:t xml:space="preserve">6.2.6. Une portée reconnue en équité, sans le mot</w:t>
      </w:r>
    </w:p>
    <w:p>
      <w:pPr>
        <w:spacing w:after="140"/>
        <w:jc w:val="both"/>
      </w:pPr>
      <w:r>
        <w:rPr>
          <w:sz w:val="22"/>
          <w:szCs w:val="22"/>
        </w:rPr>
        <w:t xml:space="preserve">Le mot « équité » n'a pas été prononcé par l'enquêteur. Les participants ont pourtant décrit des inégalités d'accès et les ont jugées, le plus souvent, inacceptables (17 participants sur 21). Deux traits de ces jugements méritent discussion. D'abord, la différence est située dans les conditions et non dans les femmes : l'heure d'arrivée, le lieu, le matériel. Cette lecture rejoint la place que la Charte d'Ottawa donne à l'équité, condition préalable à la santé</w:t>
      </w:r>
      <w:r>
        <w:rPr>
          <w:sz w:val="22"/>
          <w:szCs w:val="22"/>
        </w:rPr>
        <w:t xml:space="preserve"> [23]</w:t>
      </w:r>
      <w:r>
        <w:rPr>
          <w:sz w:val="22"/>
          <w:szCs w:val="22"/>
        </w:rPr>
        <w:t xml:space="preserve"> : une différence qui ne tient ni au mérite ni à la faute de la femme relève de cette exigence. Ensuite, 12 participants distinguent une part de l'inégalité qui leur revient, celle de l'explication, et la seule sur laquelle ils disent avoir prise. Cette double attribution, au système et à soi, est un résultat en soi : elle indique que la réorientation des services, que la Charte présente comme un processus dont les attitudes professionnelles sont une condition, trouve chez ces professionnels un point d'appui.</w:t>
      </w:r>
    </w:p>
    <w:p>
      <w:pPr>
        <w:spacing w:after="140"/>
        <w:jc w:val="both"/>
      </w:pPr>
      <w:r>
        <w:rPr>
          <w:sz w:val="22"/>
          <w:szCs w:val="22"/>
        </w:rPr>
        <w:t xml:space="preserve">Une minorité exprime une normalisation ou une résignation (5 participants). Ces positions ne doivent pas être lues comme une indifférence : elles s'accompagnent, dans les entretiens, d'une expérience longue de la pénurie ou d'une installation récente. Elles rappellent que le jugement d'équité dépend aussi de l'horizon de ce qui paraît possible.</w:t>
      </w:r>
    </w:p>
    <w:p>
      <w:pPr>
        <w:pStyle w:val="Heading2"/>
        <w:spacing w:after="120" w:before="220"/>
      </w:pPr>
      <w:r>
        <w:t xml:space="preserve">6.3. Retour sur le cadre conceptuel</w:t>
      </w:r>
    </w:p>
    <w:p>
      <w:pPr>
        <w:spacing w:after="140"/>
        <w:jc w:val="both"/>
      </w:pPr>
      <w:r>
        <w:rPr>
          <w:sz w:val="22"/>
          <w:szCs w:val="22"/>
        </w:rPr>
        <w:t xml:space="preserve">Le protocole présentait le cadre comme heuristique et révisable. Sur les 79 codes de l'arbre final (hors familles), 32 sont nés du matériau ; ils ne remettent pas en cause l'articulation des deux ensembles (sens et pratiques ; conditions perçues), mais ils suggèrent trois révisions, présentées au tableau XIII.</w:t>
      </w:r>
    </w:p>
    <w:p>
      <w:pPr>
        <w:keepNext/>
        <w:spacing w:after="80" w:before="200"/>
      </w:pPr>
      <w:r>
        <w:rPr>
          <w:b/>
          <w:bCs/>
          <w:sz w:val="20"/>
          <w:szCs w:val="20"/>
        </w:rPr>
        <w:t xml:space="preserve">Tableau XIII.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l'intrant présent de l'intrant utilisable</w:t>
            </w:r>
          </w:p>
        </w:tc>
        <w:tc>
          <w:tcPr>
            <w:tcW w:type="dxa" w:w="3826"/>
            <w:tcMar>
              <w:top w:type="dxa" w:w="60"/>
              <w:left w:type="dxa" w:w="100"/>
              <w:bottom w:type="dxa" w:w="60"/>
              <w:right w:type="dxa" w:w="100"/>
            </w:tcMar>
          </w:tcPr>
          <w:p>
            <w:r>
              <w:rPr>
                <w:b w:val="false"/>
                <w:bCs w:val="false"/>
                <w:i w:val="false"/>
                <w:iCs w:val="false"/>
                <w:sz w:val="19"/>
                <w:szCs w:val="19"/>
              </w:rPr>
              <w:t xml:space="preserve">Glucomètres présents sans bandelettes valides ; bandelettes périmées ; appareils en panne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agents de santé communautaire,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spacing w:after="140"/>
        <w:jc w:val="both"/>
      </w:pPr>
      <w:r>
        <w:rPr>
          <w:sz w:val="22"/>
          <w:szCs w:val="22"/>
        </w:rPr>
        <w:t xml:space="preserve">La deuxième révision est la plus substantielle : le modèle socio-écologique retenu situe le social perçu au plus loin du service, alors que les relais communautaires opèrent précisément entre les deux. La troisième fait du dispositif de contrôle une condition systémique à part entière, ce que la Charte d'Ottawa n'envisage pas explicitement mais que nos résultats rendent nécessaire pour comprendre la distribution effective du dépistage.</w:t>
      </w:r>
    </w:p>
    <w:p>
      <w:pPr>
        <w:pStyle w:val="Heading2"/>
        <w:spacing w:after="120" w:before="220"/>
      </w:pPr>
      <w:r>
        <w:t xml:space="preserve">6.4. Forces et limites de l'étude</w:t>
      </w:r>
    </w:p>
    <w:p>
      <w:pPr>
        <w:pStyle w:val="Heading3"/>
        <w:spacing w:after="100" w:before="180"/>
      </w:pPr>
      <w:r>
        <w:t xml:space="preserve">6.4.1. Forces</w:t>
      </w:r>
    </w:p>
    <w:p>
      <w:pPr>
        <w:spacing w:after="140"/>
        <w:jc w:val="both"/>
      </w:pPr>
      <w:r>
        <w:rPr>
          <w:sz w:val="22"/>
          <w:szCs w:val="22"/>
        </w:rPr>
        <w:t xml:space="preserve">L'échantillonnage à variation maximale couvre les seize centres du district et chacune des modalités des sept dimensions du Tableau II. La puissance informationnelle</w:t>
      </w:r>
      <w:r>
        <w:rPr>
          <w:sz w:val="22"/>
          <w:szCs w:val="22"/>
        </w:rPr>
        <w:t xml:space="preserve"> [44]</w:t>
      </w:r>
      <w:r>
        <w:rPr>
          <w:sz w:val="22"/>
          <w:szCs w:val="22"/>
        </w:rPr>
        <w:t xml:space="preserve"> a été appréciée dimension par dimension, plutôt que par un critère de saturation dont la pertinence a été discutée</w:t>
      </w:r>
      <w:r>
        <w:rPr>
          <w:sz w:val="22"/>
          <w:szCs w:val="22"/>
        </w:rPr>
        <w:t xml:space="preserve"> [45]</w:t>
      </w:r>
      <w:r>
        <w:rPr>
          <w:sz w:val="22"/>
          <w:szCs w:val="22"/>
        </w:rPr>
        <w:t xml:space="preserve">. La crédibilité repose sur la triangulation des entretiens avec l'observation et les données de routine, qui a mis en évidence des concordances autant que des écarts. La fidélité du codage a été contrôlée par un double codage de 7 entretiens (κ = 0,864) et un recodage intra-codeur de 2 entretiens (κ = 0,957). Enfin, les interprétations ont été soumises aux 19 participants qui avaient accepté d'être recontactés. Ces procédures répondent aux critères de crédibilité, de fiabilité (dépendabilité), de confirmabilité et de transférabilité de la recherche qualitative</w:t>
      </w:r>
      <w:r>
        <w:rPr>
          <w:sz w:val="22"/>
          <w:szCs w:val="22"/>
        </w:rPr>
        <w:t xml:space="preserve"> [C7]</w:t>
      </w:r>
      <w:r>
        <w:rPr>
          <w:sz w:val="22"/>
          <w:szCs w:val="22"/>
        </w:rPr>
        <w:t xml:space="preserve">.</w:t>
      </w:r>
    </w:p>
    <w:p>
      <w:pPr>
        <w:pStyle w:val="Heading3"/>
        <w:spacing w:after="100" w:before="180"/>
      </w:pPr>
      <w:r>
        <w:t xml:space="preserve">6.4.2. Limites</w:t>
      </w:r>
    </w:p>
    <w:p>
      <w:pPr>
        <w:spacing w:after="140"/>
        <w:jc w:val="both"/>
      </w:pPr>
      <w:r>
        <w:rPr>
          <w:sz w:val="22"/>
          <w:szCs w:val="22"/>
        </w:rPr>
        <w:t xml:space="preserve">Les résultats portent sur des perceptions et des pratiques déclarées. Les propos des participants sur les femmes sont des représentations professionnelles : ils ne décrivent ni les femmes elles-mêmes, ni leurs pratiques, et le point de vue des femmes reste hors du champ de l'étude. Les pratiques déclarées peuvent s'écarter des pratiques réelles ; l'observation l'a montré dans 2 centres. Une désirabilité sociale est possible, l'étude pouvant être perçue comme une évaluation.</w:t>
      </w:r>
    </w:p>
    <w:p>
      <w:pPr>
        <w:spacing w:after="140"/>
        <w:jc w:val="both"/>
      </w:pPr>
      <w:r>
        <w:rPr>
          <w:sz w:val="22"/>
          <w:szCs w:val="22"/>
        </w:rPr>
        <w:t xml:space="preserve">L'observation, limitée à une demi-journée par centre, est exposée à un effet de la présence de l'observateur sur les pratiques observées</w:t>
      </w:r>
      <w:r>
        <w:rPr>
          <w:sz w:val="22"/>
          <w:szCs w:val="22"/>
        </w:rPr>
        <w:t xml:space="preserve"> [C8]</w:t>
      </w:r>
      <w:r>
        <w:rPr>
          <w:sz w:val="22"/>
          <w:szCs w:val="22"/>
        </w:rPr>
        <w:t xml:space="preserve">. Les données de routine, de qualité limitée, ne caractérisent que le contexte. La traduction des entretiens conduits en kinyarwanda introduit un risque de perte de sens, contrôlé mais non supprimé par la vérification des transcriptions. Enfin, l'étude porte sur un seul district : ses résultats ne se généralisent pas, mais la description dense du contexte doit permettre au lecteur d'apprécier leur transférabilité à d'autres districts ruraux.</w:t>
      </w:r>
    </w:p>
    <w:p>
      <w:pPr>
        <w:pStyle w:val="Heading2"/>
        <w:spacing w:after="120" w:before="220"/>
      </w:pPr>
      <w:r>
        <w:t xml:space="preserve">6.5. Implications et recommandations</w:t>
      </w:r>
    </w:p>
    <w:p>
      <w:pPr>
        <w:spacing w:after="140"/>
        <w:jc w:val="both"/>
      </w:pPr>
      <w:r>
        <w:rPr>
          <w:sz w:val="22"/>
          <w:szCs w:val="22"/>
        </w:rPr>
        <w:t xml:space="preserve">Les recommandations suivantes découlent des résultats et des transformations proposées par les participants. Elles sont présentées par destinataire (tableau XIV).</w:t>
      </w:r>
    </w:p>
    <w:p>
      <w:pPr>
        <w:keepNext/>
        <w:spacing w:after="80" w:before="200"/>
      </w:pPr>
      <w:r>
        <w:rPr>
          <w:b/>
          <w:bCs/>
          <w:sz w:val="20"/>
          <w:szCs w:val="20"/>
        </w:rPr>
        <w:t xml:space="preserve">Tableau XIV. Recommandations par destinataire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126"/>
        <w:gridCol w:w="1700"/>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Destinataire</w:t>
            </w:r>
          </w:p>
        </w:tc>
        <w:tc>
          <w:tcPr>
            <w:tcW w:type="dxa" w:w="5126"/>
            <w:shd w:fill="E8EDF2" w:color="auto" w:val="clear"/>
            <w:tcMar>
              <w:top w:type="dxa" w:w="60"/>
              <w:left w:type="dxa" w:w="100"/>
              <w:bottom w:type="dxa" w:w="60"/>
              <w:right w:type="dxa" w:w="100"/>
            </w:tcMar>
          </w:tcPr>
          <w:p>
            <w:r>
              <w:rPr>
                <w:b/>
                <w:bCs/>
                <w:i w:val="false"/>
                <w:iCs w:val="false"/>
                <w:sz w:val="19"/>
                <w:szCs w:val="19"/>
              </w:rPr>
              <w:t xml:space="preserve">Recommandations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Résultats d'appui</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Direction de la santé du district</w:t>
            </w:r>
          </w:p>
        </w:tc>
        <w:tc>
          <w:tcPr>
            <w:tcW w:type="dxa" w:w="5126"/>
            <w:tcMar>
              <w:top w:type="dxa" w:w="60"/>
              <w:left w:type="dxa" w:w="100"/>
              <w:bottom w:type="dxa" w:w="60"/>
              <w:right w:type="dxa" w:w="100"/>
            </w:tcMar>
          </w:tcPr>
          <w:p>
            <w:r>
              <w:rPr>
                <w:b w:val="false"/>
                <w:bCs w:val="false"/>
                <w:i w:val="false"/>
                <w:iCs w:val="false"/>
                <w:sz w:val="19"/>
                <w:szCs w:val="19"/>
              </w:rPr>
              <w:t xml:space="preserve">Inscrire dans le rapport mensuel une ligne sur le dépistage (tensions mesurées, résultats anormaux, références abouties) ; inclure bandelettes de glycémie et piles dans les intrants essentiels ; organiser la maintenance des appareils ; superviser par l'observation des actes et non par la seule complétude des registres</w:t>
            </w:r>
          </w:p>
        </w:tc>
        <w:tc>
          <w:tcPr>
            <w:tcW w:type="dxa" w:w="1700"/>
            <w:tcMar>
              <w:top w:type="dxa" w:w="60"/>
              <w:left w:type="dxa" w:w="100"/>
              <w:bottom w:type="dxa" w:w="60"/>
              <w:right w:type="dxa" w:w="100"/>
            </w:tcMar>
          </w:tcPr>
          <w:p>
            <w:r>
              <w:rPr>
                <w:b w:val="false"/>
                <w:bCs w:val="false"/>
                <w:i w:val="false"/>
                <w:iCs w:val="false"/>
                <w:sz w:val="19"/>
                <w:szCs w:val="19"/>
              </w:rPr>
              <w:t xml:space="preserve">Thèmes 1, 4, 5 et 6</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Hôpital de district</w:t>
            </w:r>
          </w:p>
        </w:tc>
        <w:tc>
          <w:tcPr>
            <w:tcW w:type="dxa" w:w="5126"/>
            <w:tcMar>
              <w:top w:type="dxa" w:w="60"/>
              <w:left w:type="dxa" w:w="100"/>
              <w:bottom w:type="dxa" w:w="60"/>
              <w:right w:type="dxa" w:w="100"/>
            </w:tcMar>
          </w:tcPr>
          <w:p>
            <w:r>
              <w:rPr>
                <w:b w:val="false"/>
                <w:bCs w:val="false"/>
                <w:i w:val="false"/>
                <w:iCs w:val="false"/>
                <w:sz w:val="19"/>
                <w:szCs w:val="19"/>
              </w:rPr>
              <w:t xml:space="preserve">Rendre systématique le retour d'information vers le centre pour chaque femme référée ; organiser le suivi après l'accouchement des femmes dépistées</w:t>
            </w:r>
          </w:p>
        </w:tc>
        <w:tc>
          <w:tcPr>
            <w:tcW w:type="dxa" w:w="1700"/>
            <w:tcMar>
              <w:top w:type="dxa" w:w="60"/>
              <w:left w:type="dxa" w:w="100"/>
              <w:bottom w:type="dxa" w:w="60"/>
              <w:right w:type="dxa" w:w="100"/>
            </w:tcMar>
          </w:tcPr>
          <w:p>
            <w:r>
              <w:rPr>
                <w:b w:val="false"/>
                <w:bCs w:val="false"/>
                <w:i w:val="false"/>
                <w:iCs w:val="false"/>
                <w:sz w:val="19"/>
                <w:szCs w:val="19"/>
              </w:rPr>
              <w:t xml:space="preserve">Thème 3</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Équipes des centres de santé</w:t>
            </w:r>
          </w:p>
        </w:tc>
        <w:tc>
          <w:tcPr>
            <w:tcW w:type="dxa" w:w="5126"/>
            <w:tcMar>
              <w:top w:type="dxa" w:w="60"/>
              <w:left w:type="dxa" w:w="100"/>
              <w:bottom w:type="dxa" w:w="60"/>
              <w:right w:type="dxa" w:w="100"/>
            </w:tcMar>
          </w:tcPr>
          <w:p>
            <w:r>
              <w:rPr>
                <w:b w:val="false"/>
                <w:bCs w:val="false"/>
                <w:i w:val="false"/>
                <w:iCs w:val="false"/>
                <w:sz w:val="19"/>
                <w:szCs w:val="19"/>
              </w:rPr>
              <w:t xml:space="preserve">Vérifier la compréhension en faisant reformuler la femme ; utiliser un support visuel commun ; consacrer davantage de temps d'explication aux femmes qui en ont le plus besoin ; tracer les références</w:t>
            </w:r>
          </w:p>
        </w:tc>
        <w:tc>
          <w:tcPr>
            <w:tcW w:type="dxa" w:w="1700"/>
            <w:tcMar>
              <w:top w:type="dxa" w:w="60"/>
              <w:left w:type="dxa" w:w="100"/>
              <w:bottom w:type="dxa" w:w="60"/>
              <w:right w:type="dxa" w:w="100"/>
            </w:tcMar>
          </w:tcPr>
          <w:p>
            <w:r>
              <w:rPr>
                <w:b w:val="false"/>
                <w:bCs w:val="false"/>
                <w:i w:val="false"/>
                <w:iCs w:val="false"/>
                <w:sz w:val="19"/>
                <w:szCs w:val="19"/>
              </w:rPr>
              <w:t xml:space="preserve">Thème 2</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Formation initiale et continue</w:t>
            </w:r>
          </w:p>
        </w:tc>
        <w:tc>
          <w:tcPr>
            <w:tcW w:type="dxa" w:w="5126"/>
            <w:tcMar>
              <w:top w:type="dxa" w:w="60"/>
              <w:left w:type="dxa" w:w="100"/>
              <w:bottom w:type="dxa" w:w="60"/>
              <w:right w:type="dxa" w:w="100"/>
            </w:tcMar>
          </w:tcPr>
          <w:p>
            <w:r>
              <w:rPr>
                <w:b w:val="false"/>
                <w:bCs w:val="false"/>
                <w:i w:val="false"/>
                <w:iCs w:val="false"/>
                <w:sz w:val="19"/>
                <w:szCs w:val="19"/>
              </w:rPr>
              <w:t xml:space="preserve">Former les infirmiers affectés aux constantes autant que les sages-femmes ; former des équipes plutôt que des personnes ; intégrer la pratique informative et sa distribution entre les femmes au contenu des formations</w:t>
            </w:r>
          </w:p>
        </w:tc>
        <w:tc>
          <w:tcPr>
            <w:tcW w:type="dxa" w:w="1700"/>
            <w:tcMar>
              <w:top w:type="dxa" w:w="60"/>
              <w:left w:type="dxa" w:w="100"/>
              <w:bottom w:type="dxa" w:w="60"/>
              <w:right w:type="dxa" w:w="100"/>
            </w:tcMar>
          </w:tcPr>
          <w:p>
            <w:r>
              <w:rPr>
                <w:b w:val="false"/>
                <w:bCs w:val="false"/>
                <w:i w:val="false"/>
                <w:iCs w:val="false"/>
                <w:sz w:val="19"/>
                <w:szCs w:val="19"/>
              </w:rPr>
              <w:t xml:space="preserve">Thèmes 1 et 2 ; conditions individuelles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Programme de santé communautaire</w:t>
            </w:r>
          </w:p>
        </w:tc>
        <w:tc>
          <w:tcPr>
            <w:tcW w:type="dxa" w:w="5126"/>
            <w:tcMar>
              <w:top w:type="dxa" w:w="60"/>
              <w:left w:type="dxa" w:w="100"/>
              <w:bottom w:type="dxa" w:w="60"/>
              <w:right w:type="dxa" w:w="100"/>
            </w:tcMar>
          </w:tcPr>
          <w:p>
            <w:r>
              <w:rPr>
                <w:b w:val="false"/>
                <w:bCs w:val="false"/>
                <w:i w:val="false"/>
                <w:iCs w:val="false"/>
                <w:sz w:val="19"/>
                <w:szCs w:val="19"/>
              </w:rPr>
              <w:t xml:space="preserve">Appuyer le rôle des agents dans le suivi des femmes référées et après l'accouchement, et reconnaître les outils de suivi créés localement</w:t>
            </w:r>
          </w:p>
        </w:tc>
        <w:tc>
          <w:tcPr>
            <w:tcW w:type="dxa" w:w="1700"/>
            <w:tcMar>
              <w:top w:type="dxa" w:w="60"/>
              <w:left w:type="dxa" w:w="100"/>
              <w:bottom w:type="dxa" w:w="60"/>
              <w:right w:type="dxa" w:w="100"/>
            </w:tcMar>
          </w:tcPr>
          <w:p>
            <w:r>
              <w:rPr>
                <w:b w:val="false"/>
                <w:bCs w:val="false"/>
                <w:i w:val="false"/>
                <w:iCs w:val="false"/>
                <w:sz w:val="19"/>
                <w:szCs w:val="19"/>
              </w:rPr>
              <w:t xml:space="preserve">Thème 7</w:t>
            </w:r>
          </w:p>
        </w:tc>
      </w:tr>
    </w:tbl>
    <w:p>
      <w:pPr>
        <w:spacing w:after="200" w:before="60"/>
      </w:pPr>
      <w:r>
        <w:rPr>
          <w:i/>
          <w:iCs/>
          <w:color w:val="555555"/>
          <w:sz w:val="18"/>
          <w:szCs w:val="18"/>
        </w:rPr>
        <w:t xml:space="preserve">Source : chapitre 5 (thèmes 1 à 7 et transformations proposées par les participants).</w:t>
      </w:r>
    </w:p>
    <w:p>
      <w:pPr>
        <w:pStyle w:val="Heading2"/>
        <w:spacing w:after="120" w:before="220"/>
      </w:pPr>
      <w:r>
        <w:t xml:space="preserve">6.6. Perspectives de recherche</w:t>
      </w:r>
    </w:p>
    <w:p>
      <w:pPr>
        <w:spacing w:after="140"/>
        <w:jc w:val="both"/>
      </w:pPr>
      <w:r>
        <w:rPr>
          <w:sz w:val="22"/>
          <w:szCs w:val="22"/>
        </w:rPr>
        <w:t xml:space="preserve">Trois prolongements paraissent prioritaires. Le premier est de recueillir le point de vue des femmes sur l'explication qu'elles reçoivent, pour confronter la modulation décrite par les prestataires à l'expérience de celles qui la reçoivent. Le deuxième est une étude quantitative de la couverture effective du dépistage glycémique par centre, qui permettrait de vérifier l'hypothèse, formulée en 6.2.1, d'un sous-dépistage contribuant aux faibles prévalences observées. Le troisième est une étude de suivi des femmes dépistées après l'accouchement, pour documenter la discontinuité que les participants placent au premier rang de leurs préoccupations.</w:t>
      </w:r>
    </w:p>
    <w:p>
      <w:pPr>
        <w:pStyle w:val="Heading2"/>
        <w:spacing w:after="120" w:before="220"/>
      </w:pPr>
      <w:r>
        <w:t xml:space="preserve">Références complémentaires proposées (à vérifier, puis à intégrer à la bibliographie)</w:t>
      </w:r>
    </w:p>
    <w:p>
      <w:pPr>
        <w:spacing w:after="80"/>
        <w:ind w:left="567" w:hanging="567"/>
      </w:pPr>
      <w:r>
        <w:rPr>
          <w:sz w:val="20"/>
          <w:szCs w:val="20"/>
        </w:rPr>
        <w:t xml:space="preserve">[C1]	Organisation mondiale de la Santé. Recommandations de l'OMS concernant les soins prénatals pour que la grossesse soit une expérience positive. Genève : OMS ; 2016.</w:t>
      </w:r>
    </w:p>
    <w:p>
      <w:pPr>
        <w:spacing w:after="80"/>
        <w:ind w:left="567" w:hanging="567"/>
      </w:pPr>
      <w:r>
        <w:rPr>
          <w:sz w:val="20"/>
          <w:szCs w:val="20"/>
        </w:rPr>
        <w:t xml:space="preserve">[C2]	Tudor Hart J. The inverse care law. Lancet. 1971;1(7696):405-12.</w:t>
      </w:r>
    </w:p>
    <w:p>
      <w:pPr>
        <w:spacing w:after="80"/>
        <w:ind w:left="567" w:hanging="567"/>
      </w:pPr>
      <w:r>
        <w:rPr>
          <w:sz w:val="20"/>
          <w:szCs w:val="20"/>
        </w:rPr>
        <w:t xml:space="preserve">[C3]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[C4]	Lipsky M. Street-level bureaucracy: dilemmas of the individual in public services. New York: Russell Sage Foundation; 1980.</w:t>
      </w:r>
    </w:p>
    <w:p>
      <w:pPr>
        <w:spacing w:after="80"/>
        <w:ind w:left="567" w:hanging="567"/>
      </w:pPr>
      <w:r>
        <w:rPr>
          <w:sz w:val="20"/>
          <w:szCs w:val="20"/>
        </w:rPr>
        <w:t xml:space="preserve">[C5]	Marmot M, Allen J, Goldblatt P, Boyce T, McNeish D, Grady M, et al. Fair society, healthy lives: the Marmot Review. London: The Marmot Review; 2010.</w:t>
      </w:r>
    </w:p>
    <w:p>
      <w:pPr>
        <w:spacing w:after="80"/>
        <w:ind w:left="567" w:hanging="567"/>
      </w:pPr>
      <w:r>
        <w:rPr>
          <w:sz w:val="20"/>
          <w:szCs w:val="20"/>
        </w:rPr>
        <w:t xml:space="preserve">[C6]	Campbell DT. Assessing the impact of planned social change. Eval Program Plann. 1979;2(1):67-90.</w:t>
      </w:r>
    </w:p>
    <w:p>
      <w:pPr>
        <w:spacing w:after="80"/>
        <w:ind w:left="567" w:hanging="567"/>
      </w:pPr>
      <w:r>
        <w:rPr>
          <w:sz w:val="20"/>
          <w:szCs w:val="20"/>
        </w:rPr>
        <w:t xml:space="preserve">[C7]	Lincoln YS, Guba EG. Naturalistic inquiry. Beverly Hills (CA): Sage; 1985.</w:t>
      </w:r>
    </w:p>
    <w:p>
      <w:pPr>
        <w:spacing w:after="80"/>
        <w:ind w:left="567" w:hanging="567"/>
      </w:pPr>
      <w:r>
        <w:rPr>
          <w:sz w:val="20"/>
          <w:szCs w:val="20"/>
        </w:rPr>
        <w:t xml:space="preserve">[C8]	McCambridge J, Witton J, Elbourne DR. Systematic review of the Hawthorne effect: new concepts are needed to study research participation effects. J Clin Epidemiol. 2014;67(3):267-77.</w:t>
      </w:r>
    </w:p>
    <w:p>
      <w:r>
        <w:br w:type="page"/>
      </w:r>
    </w:p>
    <w:p>
      <w:pPr>
        <w:pStyle w:val="Heading1"/>
        <w:spacing w:after="160" w:before="280"/>
      </w:pPr>
      <w:r>
        <w:t xml:space="preserve">Annexe d'exercice — compléter et vérifier cette discussion</w:t>
      </w:r>
    </w:p>
    <w:p>
      <w:pPr>
        <w:spacing w:after="140"/>
        <w:jc w:val="both"/>
      </w:pPr>
      <w:r>
        <w:rPr>
          <w:sz w:val="22"/>
          <w:szCs w:val="22"/>
        </w:rPr>
        <w:t xml:space="preserve">Les emplacements surlignés appellent une référence de votre revue de littérature. Pour chacun, retrouvez dans la section indiquée l'étude qui soutient, nuance ou contredit le résultat discuté, et écrivez explicitement ce que vos résultats confirment, précisent ou remettent en cause.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726"/>
        <w:gridCol w:w="1500"/>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Section de la revue (§ 2.2)</w:t>
            </w:r>
          </w:p>
        </w:tc>
        <w:tc>
          <w:tcPr>
            <w:tcW w:type="dxa" w:w="5726"/>
            <w:shd w:fill="E8EDF2" w:color="auto" w:val="clear"/>
            <w:tcMar>
              <w:top w:type="dxa" w:w="60"/>
              <w:left w:type="dxa" w:w="100"/>
              <w:bottom w:type="dxa" w:w="60"/>
              <w:right w:type="dxa" w:w="100"/>
            </w:tcMar>
          </w:tcPr>
          <w:p>
            <w:r>
              <w:rPr>
                <w:b/>
                <w:bCs/>
                <w:i w:val="false"/>
                <w:iCs w:val="false"/>
                <w:sz w:val="19"/>
                <w:szCs w:val="19"/>
              </w:rPr>
              <w:t xml:space="preserve">Intitulé</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Emplacements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2.2.2</w:t>
            </w:r>
          </w:p>
        </w:tc>
        <w:tc>
          <w:tcPr>
            <w:tcW w:type="dxa" w:w="5726"/>
            <w:tcMar>
              <w:top w:type="dxa" w:w="60"/>
              <w:left w:type="dxa" w:w="100"/>
              <w:bottom w:type="dxa" w:w="60"/>
              <w:right w:type="dxa" w:w="100"/>
            </w:tcMar>
          </w:tcPr>
          <w:p>
            <w:r>
              <w:rPr>
                <w:b w:val="false"/>
                <w:bCs w:val="false"/>
                <w:i w:val="false"/>
                <w:iCs w:val="false"/>
                <w:sz w:val="19"/>
                <w:szCs w:val="19"/>
              </w:rPr>
              <w:t xml:space="preserve">Les orientations internationales relatives au dépistage en soins primaires</w:t>
            </w:r>
          </w:p>
        </w:tc>
        <w:tc>
          <w:tcPr>
            <w:tcW w:type="dxa" w:w="1500"/>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2.2.3</w:t>
            </w:r>
          </w:p>
        </w:tc>
        <w:tc>
          <w:tcPr>
            <w:tcW w:type="dxa" w:w="5726"/>
            <w:tcMar>
              <w:top w:type="dxa" w:w="60"/>
              <w:left w:type="dxa" w:w="100"/>
              <w:bottom w:type="dxa" w:w="60"/>
              <w:right w:type="dxa" w:w="100"/>
            </w:tcMar>
          </w:tcPr>
          <w:p>
            <w:r>
              <w:rPr>
                <w:b w:val="false"/>
                <w:bCs w:val="false"/>
                <w:i w:val="false"/>
                <w:iCs w:val="false"/>
                <w:sz w:val="19"/>
                <w:szCs w:val="19"/>
              </w:rPr>
              <w:t xml:space="preserve">Les connaissances disponibles en Afrique subsaharienne</w:t>
            </w:r>
          </w:p>
        </w:tc>
        <w:tc>
          <w:tcPr>
            <w:tcW w:type="dxa" w:w="15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2.2.4</w:t>
            </w:r>
          </w:p>
        </w:tc>
        <w:tc>
          <w:tcPr>
            <w:tcW w:type="dxa" w:w="5726"/>
            <w:tcMar>
              <w:top w:type="dxa" w:w="60"/>
              <w:left w:type="dxa" w:w="100"/>
              <w:bottom w:type="dxa" w:w="60"/>
              <w:right w:type="dxa" w:w="100"/>
            </w:tcMar>
          </w:tcPr>
          <w:p>
            <w:r>
              <w:rPr>
                <w:b w:val="false"/>
                <w:bCs w:val="false"/>
                <w:i w:val="false"/>
                <w:iCs w:val="false"/>
                <w:sz w:val="19"/>
                <w:szCs w:val="19"/>
              </w:rPr>
              <w:t xml:space="preserve">Déterminants sociaux du recours et équité dans l'accès au dépistage</w:t>
            </w:r>
          </w:p>
        </w:tc>
        <w:tc>
          <w:tcPr>
            <w:tcW w:type="dxa" w:w="1500"/>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2.2.5</w:t>
            </w:r>
          </w:p>
        </w:tc>
        <w:tc>
          <w:tcPr>
            <w:tcW w:type="dxa" w:w="5726"/>
            <w:tcMar>
              <w:top w:type="dxa" w:w="60"/>
              <w:left w:type="dxa" w:w="100"/>
              <w:bottom w:type="dxa" w:w="60"/>
              <w:right w:type="dxa" w:w="100"/>
            </w:tcMar>
          </w:tcPr>
          <w:p>
            <w:r>
              <w:rPr>
                <w:b w:val="false"/>
                <w:bCs w:val="false"/>
                <w:i w:val="false"/>
                <w:iCs w:val="false"/>
                <w:sz w:val="19"/>
                <w:szCs w:val="19"/>
              </w:rPr>
              <w:t xml:space="preserve">Les interventions de promotion de la santé au Rwanda</w:t>
            </w:r>
          </w:p>
        </w:tc>
        <w:tc>
          <w:tcPr>
            <w:tcW w:type="dxa" w:w="15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2.2.6</w:t>
            </w:r>
          </w:p>
        </w:tc>
        <w:tc>
          <w:tcPr>
            <w:tcW w:type="dxa" w:w="5726"/>
            <w:tcMar>
              <w:top w:type="dxa" w:w="60"/>
              <w:left w:type="dxa" w:w="100"/>
              <w:bottom w:type="dxa" w:w="60"/>
              <w:right w:type="dxa" w:w="100"/>
            </w:tcMar>
          </w:tcPr>
          <w:p>
            <w:r>
              <w:rPr>
                <w:b w:val="false"/>
                <w:bCs w:val="false"/>
                <w:i w:val="false"/>
                <w:iCs w:val="false"/>
                <w:sz w:val="19"/>
                <w:szCs w:val="19"/>
              </w:rPr>
              <w:t xml:space="preserve">Les connaissances disponibles au Rwanda et le point de vue absent</w:t>
            </w:r>
          </w:p>
        </w:tc>
        <w:tc>
          <w:tcPr>
            <w:tcW w:type="dxa" w:w="1500"/>
            <w:tcMar>
              <w:top w:type="dxa" w:w="60"/>
              <w:left w:type="dxa" w:w="100"/>
              <w:bottom w:type="dxa" w:w="60"/>
              <w:right w:type="dxa" w:w="100"/>
            </w:tcMar>
          </w:tcPr>
          <w:p>
            <w:r>
              <w:rPr>
                <w:b w:val="false"/>
                <w:bCs w:val="false"/>
                <w:i w:val="false"/>
                <w:iCs w:val="false"/>
                <w:sz w:val="19"/>
                <w:szCs w:val="19"/>
              </w:rPr>
              <w:t xml:space="preserve">1</w:t>
            </w:r>
          </w:p>
        </w:tc>
      </w:tr>
    </w:tbl>
    <w:p/>
    <w:p>
      <w:pPr>
        <w:spacing w:after="140"/>
        <w:jc w:val="both"/>
      </w:pPr>
      <w:r>
        <w:rPr>
          <w:sz w:val="22"/>
          <w:szCs w:val="22"/>
        </w:rPr>
        <w:t xml:space="preserve">Vérifiez ensuite chaque référence complémentaire dans sa source (auteurs, année, revue, pages) et assurez-vous qu'elle dit bien ce que le texte lui fait dire. Une référence qu'on n'a pas lue ne se cite pas.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2026-10-02T06:42:11.535Z</dcterms:created>
  <dcterms:modified xsi:type="dcterms:W3CDTF">2026-10-02T06:42:11.535Z</dcterms:modified>
</cp:coreProperties>
</file>

<file path=docProps/custom.xml><?xml version="1.0" encoding="utf-8"?>
<Properties xmlns="http://schemas.openxmlformats.org/officeDocument/2006/custom-properties" xmlns:vt="http://schemas.openxmlformats.org/officeDocument/2006/docPropsVTypes"/>
</file>