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 (rédaction d'exercice)</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Rédaction d'exercice du 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pPr>
        <w:spacing w:after="80"/>
        <w:rPr>
          <w:sz w:val="20"/>
          <w:szCs w:val="20"/>
        </w:rPr>
      </w:pPr>
      <w:r>
        <w:rPr>
          <w:sz w:val="20"/>
          <w:szCs w:val="20"/>
        </w:rPr>
        <w:t xml:space="preserve"/>
      </w:r>
    </w:p>
    <w:p>
      <w:pPr>
        <w:spacing w:after="80"/>
        <w:rPr>
          <w:sz w:val="20"/>
          <w:szCs w:val="20"/>
        </w:rPr>
      </w:pPr>
      <w:r>
        <w:rPr>
          <w:sz w:val="20"/>
          <w:szCs w:val="20"/>
        </w:rPr>
        <w:t xml:space="preserve">Ce texte est un MODÈLE de forme. La discussion du mémoire réel portera sur les résultats réels et ne reprendra rien de celle-ci.</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140"/>
        <w:jc w:val="both"/>
      </w:pPr>
      <w:r>
        <w:rPr>
          <w:i w:val="false"/>
          <w:iCs w:val="false"/>
          <w:sz w:val="22"/>
          <w:szCs w:val="22"/>
        </w:rPr>
        <w:t xml:space="preserve">Le dépistage est « coupé en deux » : la tension est mesurée à chaque visite ; la glycémie, prévue pour toutes à la première CPN, relève du laboratoire, n'était effectivement réalisée que dans 5 centres sur 15 et n'est refaite nulle part de façon systématique à 24-28 semaines. L'explication est modulée à l'inverse des besoins (17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Deux programmes dans le même centre</w:t>
      </w:r>
    </w:p>
    <w:p>
      <w:pPr>
        <w:spacing w:after="14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Or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a rattaché le glucomètre à la consultation des maladies chroniques. Deux programmes coexistent sans la jonction que la revue jugeait absente</w:t>
      </w:r>
      <w:r>
        <w:rPr>
          <w:sz w:val="22"/>
          <w:szCs w:val="22"/>
        </w:rPr>
        <w:t xml:space="preserve"> [63,64]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concordent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w:t>
      </w:r>
    </w:p>
    <w:p>
      <w:pPr>
        <w:spacing w:after="140"/>
        <w:jc w:val="both"/>
      </w:pPr>
      <w:r>
        <w:rPr>
          <w:i w:val="false"/>
          <w:iCs w:val="false"/>
          <w:sz w:val="22"/>
          <w:szCs w:val="22"/>
        </w:rPr>
        <w:t xml:space="preserve">La règle elle-même n'est pas en cause : le diabète fait partie des affections recherchées chez toutes les femmes à la première CPN et consignées au registre de maternité</w:t>
      </w:r>
      <w:r>
        <w:rPr>
          <w:sz w:val="22"/>
          <w:szCs w:val="22"/>
        </w:rPr>
        <w:t xml:space="preserve"> [73]</w:t>
      </w:r>
      <w:r>
        <w:rPr>
          <w:i w:val="false"/>
          <w:iCs w:val="false"/>
          <w:sz w:val="22"/>
          <w:szCs w:val="22"/>
        </w:rPr>
        <w:t xml:space="preserve">, et une étude conduite dans 121 centres rwandais trouvait la glycémie prescrite à la majorité des femmes, un quart des résultats étant évocateurs de diabète</w:t>
      </w:r>
      <w:r>
        <w:rPr>
          <w:sz w:val="22"/>
          <w:szCs w:val="22"/>
        </w:rPr>
        <w:t xml:space="preserve"> [74]</w:t>
      </w:r>
      <w:r>
        <w:rPr>
          <w:i w:val="false"/>
          <w:iCs w:val="false"/>
          <w:sz w:val="22"/>
          <w:szCs w:val="22"/>
        </w:rPr>
        <w:t xml:space="preserve">. Deux limites tiennent à l'organisation. La première est matérielle : là où le laboratoire manque de bandelettes ou les réserve aux malades chroniques, même le test de la première CPN n'est pas fait, et la case du registre peut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w:t>
      </w:r>
    </w:p>
    <w:p>
      <w:pPr>
        <w:pStyle w:val="Heading3"/>
        <w:spacing w:after="100" w:before="180"/>
      </w:pPr>
      <w:r>
        <w:t xml:space="preserve">6.2.2. Le prestataire, opérateur concret de l'équité</w:t>
      </w:r>
    </w:p>
    <w:p>
      <w:pPr>
        <w:spacing w:after="14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Nos résultats décrivent comment le service reproduit l'inégalité : l'explication va d'abord aux femmes qui en ont le moins besoin, à l'image de la « loi inverse des soins »</w:t>
      </w:r>
      <w:r>
        <w:rPr>
          <w:sz w:val="22"/>
          <w:szCs w:val="22"/>
        </w:rPr>
        <w:t xml:space="preserve"> [75]</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[76]</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[77]</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 les contre-pratiques décrites rejoignent l'universalisme proportionné</w:t>
      </w:r>
      <w:r>
        <w:rPr>
          <w:sz w:val="22"/>
          <w:szCs w:val="22"/>
        </w:rPr>
        <w:t xml:space="preserve"> [78]</w:t>
      </w:r>
      <w:r>
        <w:rPr>
          <w:i w:val="false"/>
          <w:iCs w:val="false"/>
          <w:sz w:val="22"/>
          <w:szCs w:val="22"/>
        </w:rPr>
        <w:t xml:space="preserve">.</w:t>
      </w:r>
    </w:p>
    <w:p>
      <w:pPr>
        <w:pStyle w:val="Heading3"/>
        <w:spacing w:after="100" w:before="180"/>
      </w:pPr>
      <w:r>
        <w:t xml:space="preserve">6.2.3. Ce qui est compté, et ce qui le suit</w:t>
      </w:r>
    </w:p>
    <w:p>
      <w:pPr>
        <w:spacing w:after="14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[79]</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La détection, enfin, n'a de valeur que si la référence aboutit : les facteurs limitants inventoriés ailleurs</w:t>
      </w:r>
      <w:r>
        <w:rPr>
          <w:sz w:val="22"/>
          <w:szCs w:val="22"/>
        </w:rPr>
        <w:t xml:space="preserve"> [24-26]</w:t>
      </w:r>
      <w:r>
        <w:rPr>
          <w:i w:val="false"/>
          <w:iCs w:val="false"/>
          <w:sz w:val="22"/>
          <w:szCs w:val="22"/>
        </w:rPr>
        <w:t xml:space="preserve"> s'articulent ici en une chaîne — transport, décision du ménage, retour d'information —, en accord avec les références sous-optimales décrites au Rwanda</w:t>
      </w:r>
      <w:r>
        <w:rPr>
          <w:sz w:val="22"/>
          <w:szCs w:val="22"/>
        </w:rPr>
        <w:t xml:space="preserve"> [74]</w:t>
      </w:r>
      <w:r>
        <w:rPr>
          <w:i w:val="false"/>
          <w:iCs w:val="false"/>
          <w:sz w:val="22"/>
          <w:szCs w:val="22"/>
        </w:rPr>
        <w:t xml:space="preserve">, et le suivi s'interrompt à l'accouchement alors que la grossesse peut révéler ces affections</w:t>
      </w:r>
      <w:r>
        <w:rPr>
          <w:sz w:val="22"/>
          <w:szCs w:val="22"/>
        </w:rPr>
        <w:t xml:space="preserve"> [4,5]</w:t>
      </w:r>
      <w:r>
        <w:rPr>
          <w:i w:val="false"/>
          <w:iCs w:val="false"/>
          <w:sz w:val="22"/>
          <w:szCs w:val="22"/>
        </w:rPr>
        <w:t xml:space="preserve">.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14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140"/>
        <w:jc w:val="both"/>
      </w:pPr>
      <w:r>
        <w:rPr>
          <w:i w:val="false"/>
          <w:iCs w:val="false"/>
          <w:sz w:val="22"/>
          <w:szCs w:val="22"/>
        </w:rPr>
        <w:t xml:space="preserve">Sur les 81 codes de l'arbre final, 34 sont nés du matériau. Ils ne remettent pas en cause les deux ensembles du cadre, mais appellent trois révisions (tableau VIII),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le dispositif de contrôle comme condition systémique ; une articulation communautaire ; et trois dimensions de l'équité d'accès — au test, à l'explication, à la continuité.</w:t>
      </w:r>
    </w:p>
    <w:p>
      <w:pPr>
        <w:keepNext/>
        <w:spacing w:after="80" w:before="200"/>
      </w:pPr>
      <w:r>
        <w:rPr>
          <w:b/>
          <w:bCs/>
          <w:sz w:val="20"/>
          <w:szCs w:val="20"/>
        </w:rPr>
        <w:t xml:space="preserve">Tableau VIII.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l'intrant présent, l'intrant utilisable, l'intrant accessible à la CPN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Glucomètre au laboratoire ou à la consultation des maladies chroniques ; bandelettes réservées, absentes ou périmées ; glycémie unique à la première CPN,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agents de santé communautaire,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keepNext/>
        <w:pageBreakBefore/>
        <w:spacing w:after="60" w:before="0" w:line="240" w:lineRule="auto"/>
        <w:jc w:val="center"/>
      </w:pPr>
      <w:r>
        <w:drawing>
          <wp:inline distT="0" distB="0" distL="0" distR="0">
            <wp:extent cx="4953000" cy="758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5819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VIII et des observations.</w:t>
      </w:r>
    </w:p>
    <w:p>
      <w:pPr>
        <w:pStyle w:val="Heading2"/>
        <w:spacing w:after="120" w:before="220"/>
      </w:pPr>
      <w:r>
        <w:t xml:space="preserve">6.4. Forces et limites de l'étude</w:t>
      </w:r>
    </w:p>
    <w:p>
      <w:pPr>
        <w:spacing w:after="14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(κ = 0,869 ; intra-codeur κ = 0,958)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140"/>
        <w:jc w:val="both"/>
      </w:pPr>
      <w:r>
        <w:rPr>
          <w:i w:val="false"/>
          <w:iCs w:val="false"/>
          <w:sz w:val="22"/>
          <w:szCs w:val="22"/>
        </w:rPr>
        <w:t xml:space="preserve">Limites. Les résultats portent sur des pratiques déclarées et des représentations professionnelles ; le point de vue des femmes reste hors champ. L'observation est exposée à un effet de présence</w:t>
      </w:r>
      <w:r>
        <w:rPr>
          <w:sz w:val="22"/>
          <w:szCs w:val="22"/>
        </w:rPr>
        <w:t xml:space="preserve"> [80]</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et l'étude, limitée à un district, ne se généralise pas. Les perspectives et suggestions sont présentées en conclusion.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Schmidt CN, Butrick E, Musange S, Mulindahabi N, Walker D, et al. Towards stronger antenatal care: understanding predictors of late presentation to antenatal services and implications for obstetric risk management in Rwanda. PLoS One. 2021;16(8):e0256415.</w:t>
      </w:r>
    </w:p>
    <w:p>
      <w:pPr>
        <w:spacing w:after="80"/>
        <w:ind w:left="567" w:hanging="567"/>
      </w:pPr>
      <w:r>
        <w:rPr>
          <w:sz w:val="20"/>
          <w:szCs w:val="20"/>
        </w:rPr>
        <w:t xml:space="preserve">74.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75.	Tudor Hart J. The inverse care law. Lancet. 1971;1(7696):405-12.</w:t>
      </w:r>
    </w:p>
    <w:p>
      <w:pPr>
        <w:spacing w:after="80"/>
        <w:ind w:left="567" w:hanging="567"/>
      </w:pPr>
      <w:r>
        <w:rPr>
          <w:sz w:val="20"/>
          <w:szCs w:val="20"/>
        </w:rPr>
        <w:t xml:space="preserve">76.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77.	Lipsky M. Street-level bureaucracy: dilemmas of the individual in public services. New York: Russell Sage Foundation; 1980.</w:t>
      </w:r>
    </w:p>
    <w:p>
      <w:pPr>
        <w:spacing w:after="80"/>
        <w:ind w:left="567" w:hanging="567"/>
      </w:pPr>
      <w:r>
        <w:rPr>
          <w:sz w:val="20"/>
          <w:szCs w:val="20"/>
        </w:rPr>
        <w:t xml:space="preserve">78.	Marmot M, Allen J, Goldblatt P, Boyce T, McNeish D, Grady M, et al. Fair society, healthy lives: the Marmot Review. London: The Marmot Review; 2010.</w:t>
      </w:r>
    </w:p>
    <w:p>
      <w:pPr>
        <w:spacing w:after="80"/>
        <w:ind w:left="567" w:hanging="567"/>
      </w:pPr>
      <w:r>
        <w:rPr>
          <w:sz w:val="20"/>
          <w:szCs w:val="20"/>
        </w:rPr>
        <w:t xml:space="preserve">79.	Campbell DT. Assessing the impact of planned social change. Eval Program Plann. 1979;2(1):67-90.</w:t>
      </w:r>
    </w:p>
    <w:p>
      <w:pPr>
        <w:spacing w:after="80"/>
        <w:ind w:left="567" w:hanging="567"/>
      </w:pPr>
      <w:r>
        <w:rPr>
          <w:sz w:val="20"/>
          <w:szCs w:val="20"/>
        </w:rPr>
        <w:t xml:space="preserve">80.	McCambridge J, Witton J, Elbourne DR. Systematic review of the Hawthorne effect: new concepts are needed to study research participation effects. J Clin Epidemiol. 2014;67(3):267-77.</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fbddf631cd3862186a85c96d714846dbe882e97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2026-10-02T12:39:38.504Z</dcterms:created>
  <dcterms:modified xsi:type="dcterms:W3CDTF">2026-10-02T12:39:38.504Z</dcterms:modified>
</cp:coreProperties>
</file>

<file path=docProps/custom.xml><?xml version="1.0" encoding="utf-8"?>
<Properties xmlns="http://schemas.openxmlformats.org/officeDocument/2006/custom-properties" xmlns:vt="http://schemas.openxmlformats.org/officeDocument/2006/docPropsVTypes"/>
</file>