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 (rédaction d'exercice)</w:t>
      </w:r>
    </w:p>
    <w:p>
      <w:pPr>
        <w:pStyle w:val="Normal"/>
        <w:rPr/>
      </w:pPr>
      <w:r>
        <w:rPr/>
      </w:r>
    </w:p>
    <w:tbl>
      <w:tblPr>
        <w:tblW w:w="8787" w:type="dxa"/>
        <w:jc w:val="left"/>
        <w:tblInd w:w="0" w:type="dxa"/>
        <w:tblLayout w:type="fixed"/>
        <w:tblCellMar>
          <w:top w:w="140" w:type="dxa"/>
          <w:left w:w="160" w:type="dxa"/>
          <w:bottom w:w="140" w:type="dxa"/>
          <w:right w:w="160" w:type="dxa"/>
        </w:tblCellMar>
      </w:tblPr>
      <w:tblGrid>
        <w:gridCol w:w="8787"/>
      </w:tblGrid>
      <w:tr>
        <w:trPr/>
        <w:tc>
          <w:tcPr>
            <w:tcW w:w="8787" w:type="dxa"/>
            <w:tcBorders>
              <w:top w:val="single" w:sz="12" w:space="0" w:color="C0392B"/>
              <w:left w:val="single" w:sz="12" w:space="0" w:color="C0392B"/>
              <w:bottom w:val="single" w:sz="12" w:space="0" w:color="C0392B"/>
              <w:right w:val="single" w:sz="12" w:space="0" w:color="C0392B"/>
            </w:tcBorders>
            <w:shd w:color="auto" w:fill="FDEDEC" w:val="clear"/>
          </w:tcPr>
          <w:p>
            <w:pPr>
              <w:pStyle w:val="Normal"/>
              <w:spacing w:lineRule="auto" w:line="240" w:before="40" w:after="40"/>
              <w:jc w:val="left"/>
              <w:rPr>
                <w:sz w:val="22"/>
                <w:szCs w:val="22"/>
              </w:rPr>
            </w:pPr>
            <w:r>
              <w:rPr>
                <w:b/>
                <w:bCs/>
                <w:color w:val="C0392B"/>
                <w:sz w:val="22"/>
                <w:szCs w:val="22"/>
              </w:rPr>
              <w:t xml:space="preserve">⚠ </w:t>
            </w:r>
            <w:r>
              <w:rPr>
                <w:b/>
                <w:bCs/>
                <w:color w:val="C0392B"/>
                <w:sz w:val="22"/>
                <w:szCs w:val="22"/>
              </w:rPr>
              <w:t>DONNÉES ENTIÈREMENT SIMULÉES — EXERCICE DE FORMATION</w:t>
            </w:r>
          </w:p>
          <w:p>
            <w:pPr>
              <w:pStyle w:val="Normal"/>
              <w:spacing w:lineRule="auto" w:line="240" w:before="40" w:after="40"/>
              <w:jc w:val="left"/>
              <w:rPr>
                <w:sz w:val="22"/>
                <w:szCs w:val="22"/>
              </w:rPr>
            </w:pPr>
            <w:r>
              <w:rPr>
                <w:sz w:val="22"/>
                <w:szCs w:val="22"/>
              </w:rPr>
              <w:t>Aucun entretien n'a été conduit. Aucun centre de santé n'a été visité. Aucune des personnes décrites n'existe. Ce document sert exclusivement à apprendre à manipuler l'outil d'analyse avant la collecte réelle.</w:t>
            </w:r>
          </w:p>
          <w:p>
            <w:pPr>
              <w:pStyle w:val="Normal"/>
              <w:spacing w:lineRule="auto" w:line="240" w:before="40" w:after="40"/>
              <w:jc w:val="left"/>
              <w:rPr>
                <w:sz w:val="22"/>
                <w:szCs w:val="22"/>
              </w:rPr>
            </w:pPr>
            <w:r>
              <w:rPr>
                <w:b/>
                <w:bCs/>
                <w:sz w:val="22"/>
                <w:szCs w:val="22"/>
              </w:rPr>
              <w:t>Il ne peut être cité, ni figurer dans le mémoire, ni servir de résultat, ni être présenté à un comité d'éthique ou à un jury comme une donnée de terrain.</w:t>
            </w:r>
          </w:p>
        </w:tc>
      </w:tr>
    </w:tbl>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spacing w:before="0" w:after="80"/>
        <w:rPr/>
      </w:pPr>
      <w:r>
        <w:rPr/>
      </w:r>
    </w:p>
    <w:p>
      <w:pPr>
        <w:pStyle w:val="Normal"/>
        <w:spacing w:before="0" w:after="80"/>
        <w:rPr/>
      </w:pPr>
      <w:r>
        <w:rPr/>
        <w:t>Ce texte est un MODÈLE de forme, rédigé sur des données simulées. Le rapport réel portera sur les résultats réels et ne reprendra rien de celui-ci.</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simulée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 simulé</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Le dépistage est coupé en deux. La tension est mesurée à chaque visite ; la glycémie, prévue pour toutes à la première CPN, se fait au laboratoire ou à la consultation des maladies chroniques. Aucun des 15 centres n'avait de glucomètre en salle de CPN ; le test de la première CPN n'était effectivement réalisé que dans 5 d'entre eux, et aucun ne le refaisait de façon systématique entre 24 et 28 semaines, quand apparaît le diabète gestationnel.</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before="280" w:after="160"/>
        <w:rPr/>
      </w:pPr>
      <w:r>
        <w:rPr/>
        <w:t>1. CONTEXTE ET JUSTIFICATION</w:t>
      </w:r>
    </w:p>
    <w:p>
      <w:pPr>
        <w:pStyle w:val="Normal"/>
        <w:spacing w:before="0" w:after="14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14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[4]</w:t>
      </w:r>
      <w:r>
        <w:rPr>
          <w:i w:val="false"/>
          <w:iCs w:val="false"/>
        </w:rPr>
        <w:t>.</w:t>
      </w:r>
    </w:p>
    <w:p>
      <w:pPr>
        <w:pStyle w:val="Normal"/>
        <w:spacing w:before="0" w:after="140"/>
        <w:jc w:val="both"/>
        <w:rPr/>
      </w:pPr>
      <w:r>
        <w:rPr>
          <w:i w:val="false"/>
          <w:iCs w:val="false"/>
        </w:rPr>
        <w:t>Au regard de la Charte d'Ottawa</w:t>
      </w:r>
      <w:r>
        <w:rPr/>
        <w:t xml:space="preserve"> [5]</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14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sz w:val="24"/>
          <w:szCs w:val="24"/>
        </w:rPr>
      </w:pPr>
      <w:r>
        <w:rPr>
          <w:b/>
          <w:bCs/>
          <w:sz w:val="24"/>
          <w:szCs w:val="24"/>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et laboratoire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indépendant (κ = 0,869) et recodage intra-codeur (κ = 0,958)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Consentement écrit ; accords distincts pour l'enregistrement et la citation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Le glucomètre est au laboratoire, pas en CPN</w:t>
      </w:r>
    </w:p>
    <w:p>
      <w:pPr>
        <w:pStyle w:val="Normal"/>
        <w:spacing w:before="0" w:after="140"/>
        <w:jc w:val="both"/>
        <w:rPr/>
      </w:pPr>
      <w:r>
        <w:rPr>
          <w:i w:val="false"/>
          <w:iCs w:val="false"/>
        </w:rPr>
        <w:t>Le jour de l'observation, le tensiomètre était présent en salle de CPN dans les 15 centres. La glycémie, elle, relevait d'un autre service (tableau 2).</w:t>
      </w:r>
    </w:p>
    <w:p>
      <w:pPr>
        <w:pStyle w:val="Normal"/>
        <w:keepNext w:val="true"/>
        <w:spacing w:before="200" w:after="80"/>
        <w:rPr>
          <w:sz w:val="24"/>
          <w:szCs w:val="24"/>
        </w:rPr>
      </w:pPr>
      <w:r>
        <w:rPr>
          <w:b/>
          <w:bCs/>
          <w:sz w:val="24"/>
          <w:szCs w:val="24"/>
        </w:rPr>
        <w:t>Tableau 2. Accès de la femme enceinte à la glycémie,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réalisée au laboratoire, sur bon de la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 xml:space="preserve">   </w:t>
            </w:r>
            <w:r>
              <w:rPr>
                <w:b w:val="false"/>
                <w:bCs w:val="false"/>
                <w:i w:val="false"/>
                <w:iCs w:val="false"/>
                <w:sz w:val="22"/>
                <w:szCs w:val="22"/>
              </w:rPr>
              <w:t>dont glycémie refaite systématiquement à 24-28 semaines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et bandelettes réservés à la consultation des maladies chroniques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impossible : appareil en panne, bandelettes absentes ou périmées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Pas de glucomètre dans le centre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140"/>
        <w:jc w:val="both"/>
        <w:rPr/>
      </w:pPr>
      <w:r>
        <w:rPr>
          <w:i w:val="false"/>
          <w:iCs w:val="false"/>
        </w:rPr>
        <w:t>Là où le circuit fonctionne, le test de la première CPN est fait à toutes, mais il reste unique : la glycémie n'est refaite qu'en présence d'un signe d'appel ou d'un facteur de risque, et l'épreuve de charge prévue entre 24 et 28 semaines n'est pratiquée nulle part. Une femme normale au premier trimestre n'est plus suivie sur ce point.</w:t>
      </w:r>
    </w:p>
    <w:p>
      <w:pPr>
        <w:pStyle w:val="Normal"/>
        <w:spacing w:lineRule="auto" w:line="240" w:before="60" w:after="40"/>
        <w:ind w:left="567" w:right="567"/>
        <w:jc w:val="both"/>
        <w:rPr>
          <w:sz w:val="24"/>
          <w:szCs w:val="24"/>
        </w:rPr>
      </w:pPr>
      <w:r>
        <w:rPr>
          <w:i/>
          <w:iCs/>
          <w:sz w:val="24"/>
          <w:szCs w:val="24"/>
        </w:rPr>
        <w:t>« À la première visite, toutes font le sucre avec le bilan. Après, plus rien, sauf si quelque chose m'inquiète. Une femme normale à trois mois, je ne sais plus rien d'elle à sept mois.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140"/>
        <w:jc w:val="both"/>
        <w:rPr/>
      </w:pPr>
      <w:r>
        <w:rPr>
          <w:i w:val="false"/>
          <w:iCs w:val="false"/>
        </w:rPr>
        <w:t>L'analyse a dégagé sept thèmes, dont deux répondent au premier objectif et cinq au second (tableau 3).</w:t>
      </w:r>
    </w:p>
    <w:p>
      <w:pPr>
        <w:pStyle w:val="Normal"/>
        <w:keepNext w:val="true"/>
        <w:spacing w:before="200" w:after="80"/>
        <w:rPr>
          <w:sz w:val="24"/>
          <w:szCs w:val="24"/>
        </w:rPr>
      </w:pPr>
      <w:r>
        <w:rPr>
          <w:b/>
          <w:bCs/>
          <w:sz w:val="24"/>
          <w:szCs w:val="24"/>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Relais communautaires et initiatives locales prolongent le dépistage ; ils reposent sur une personne.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Trois propos qui résument</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Normal"/>
        <w:spacing w:lineRule="auto" w:line="240" w:before="60" w:after="40"/>
        <w:ind w:left="567" w:right="567"/>
        <w:jc w:val="both"/>
        <w:rPr>
          <w:sz w:val="24"/>
          <w:szCs w:val="24"/>
        </w:rPr>
      </w:pPr>
      <w:r>
        <w:rPr>
          <w:i/>
          <w:iCs/>
          <w:sz w:val="24"/>
          <w:szCs w:val="24"/>
        </w:rPr>
        <w:t>« Aujourd'hui je réfère dans le vide. Et tant que je réfère dans le vide, mon dépistage s'arrête à la détection : ce n'est pas un dépistage, c'est un signalement. »</w:t>
      </w:r>
    </w:p>
    <w:p>
      <w:pPr>
        <w:pStyle w:val="Normal"/>
        <w:spacing w:lineRule="auto" w:line="240" w:before="0" w:after="160"/>
        <w:ind w:left="567" w:right="567"/>
        <w:jc w:val="right"/>
        <w:rPr>
          <w:sz w:val="24"/>
          <w:szCs w:val="24"/>
        </w:rPr>
      </w:pPr>
      <w:r>
        <w:rPr>
          <w:sz w:val="24"/>
          <w:szCs w:val="24"/>
        </w:rPr>
        <w:t>(P07, sage-femme)</w:t>
      </w:r>
    </w:p>
    <w:p>
      <w:pPr>
        <w:pStyle w:val="Heading2"/>
        <w:spacing w:before="220" w:after="120"/>
        <w:rPr/>
      </w:pPr>
      <w:r>
        <w:rPr/>
        <w:t>4.4. Ce que l'observation confirme ou nuance</w:t>
      </w:r>
    </w:p>
    <w:p>
      <w:pPr>
        <w:pStyle w:val="Normal"/>
        <w:spacing w:before="0" w:after="140"/>
        <w:jc w:val="both"/>
        <w:rPr/>
      </w:pPr>
      <w:r>
        <w:rPr>
          <w:i w:val="false"/>
          <w:iCs w:val="false"/>
        </w:rPr>
        <w:t>La confrontation des entretiens avec l'observation et les données de routine a produit 7 constats : 5 concordances et 2 écarts entre pratiques déclarées et pratiques observées. L'observation a notamment permis de situer le glucomètre, ce que les entretiens seuls n'établissaient pas.</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Deux programmes dans le même centre. La glycémie appartient au programme des maladies non transmissibles, la CPN au programme de santé maternelle. Tant que ce partage n'est pas organisé, la femme enceinte reste en dehors du circuit du glucomètre, ce qui rejoint le caractère non systématique du dépistage rapporté au niveau national</w:t>
      </w:r>
      <w:r>
        <w:rPr/>
        <w:t xml:space="preserve"> [4]</w:t>
      </w:r>
      <w:r>
        <w:rPr>
          <w:i w:val="false"/>
          <w:iCs w:val="false"/>
        </w:rPr>
        <w:t>.</w:t>
      </w:r>
    </w:p>
    <w:p>
      <w:pPr>
        <w:pStyle w:val="ListParagraph"/>
        <w:numPr>
          <w:ilvl w:val="0"/>
          <w:numId w:val="1"/>
        </w:numPr>
        <w:spacing w:before="0" w:after="80"/>
        <w:jc w:val="both"/>
        <w:rPr/>
      </w:pPr>
      <w:r>
        <w:rPr>
          <w:i w:val="false"/>
          <w:iCs w:val="false"/>
        </w:rPr>
        <w:t>Un test unique, trop précoce. La règle prévoit la glycémie pour toutes à la première CPN, mais le diabète gestationnel apparaît surtout entre 24 et 28 semaines, période pour laquelle le protocole national prévoit une épreuve de charge</w:t>
      </w:r>
      <w:r>
        <w:rPr/>
        <w:t xml:space="preserve"> [4]</w:t>
      </w:r>
      <w:r>
        <w:rPr>
          <w:i w:val="false"/>
          <w:iCs w:val="false"/>
        </w:rPr>
        <w:t xml:space="preserve"> que les centres ne pratiquent pas. Le dépistage repère ainsi un diabète préexistant plutôt que le diabète de la grossesse.</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[5]</w:t>
      </w:r>
      <w:r>
        <w:rPr>
          <w:i w:val="false"/>
          <w:iCs w:val="false"/>
        </w:rPr>
        <w:t>.</w:t>
      </w:r>
    </w:p>
    <w:p>
      <w:pPr>
        <w:pStyle w:val="ListParagraph"/>
        <w:numPr>
          <w:ilvl w:val="0"/>
          <w:numId w:val="1"/>
        </w:numPr>
        <w:spacing w:before="0" w:after="80"/>
        <w:jc w:val="both"/>
        <w:rPr/>
      </w:pPr>
      <w:r>
        <w:rPr>
          <w:i w:val="false"/>
          <w:iCs w:val="false"/>
        </w:rPr>
        <w:t>Ce qui est compté existe. Les indicateurs orientent intrants, maintenance et supervision. Un dépistage absent du rapport mensuel n'est ni approvisionné ni contrôlé, et un contrôle de complétude du registre peut produire une égalité apparente.</w:t>
      </w:r>
    </w:p>
    <w:p>
      <w:pPr>
        <w:pStyle w:val="ListParagraph"/>
        <w:numPr>
          <w:ilvl w:val="0"/>
          <w:numId w:val="1"/>
        </w:numPr>
        <w:spacing w:before="0" w:after="80"/>
        <w:jc w:val="both"/>
        <w:rPr/>
      </w:pPr>
      <w:r>
        <w:rPr>
          <w:i w:val="false"/>
          <w:iCs w:val="false"/>
        </w:rPr>
        <w:t>La dotation ne suffit pas. Là où l'équipement est présent, l'inégalité du test diminue, mais celles du coût et de l'explication demeurent : la réponse ne peut être seulement matérielle.</w:t>
      </w:r>
    </w:p>
    <w:p>
      <w:pPr>
        <w:pStyle w:val="Heading1"/>
        <w:spacing w:before="280" w:after="160"/>
        <w:rPr/>
      </w:pPr>
      <w:r>
        <w:rPr/>
        <w:t>6. RECOMMANDATIONS</w:t>
      </w:r>
    </w:p>
    <w:p>
      <w:pPr>
        <w:pStyle w:val="Normal"/>
        <w:keepNext w:val="true"/>
        <w:spacing w:before="200" w:after="80"/>
        <w:rPr>
          <w:sz w:val="24"/>
          <w:szCs w:val="24"/>
        </w:rPr>
      </w:pPr>
      <w:r>
        <w:rPr>
          <w:b/>
          <w:bCs/>
          <w:sz w:val="24"/>
          <w:szCs w:val="24"/>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Garantir les bandelettes nécessaires à la glycémie de la première CPN ; préciser et rendre praticable le dépistage du diabète gestationnel entre 24 et 28 semaines (glycémie à jeun ou épreuve de charge du protocole national),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Organiser le circuit « bon de CPN → laboratoire » le matin même, pour la première CPN et pour le contrôle à 24-28 semaines ; coordonner la CPN et la consultation des maladies chroniques pour l'usage du glucomètre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Vérifier la compréhension en faisant reformuler la femme ; utiliser un support visuel commun ; consacrer davantage de temps d'explication aux femmes qui en ont le plus besoin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Appuyer le rôle des agents dans le suivi des femmes référées et après l'accouchement, et reconnaître les outils de suivi créés localement</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140"/>
        <w:jc w:val="both"/>
        <w:rPr/>
      </w:pPr>
      <w:r>
        <w:rPr>
          <w:i w:val="false"/>
          <w:iCs w:val="false"/>
        </w:rPr>
        <w:t>Les résultats portent sur des perceptions et des pratiques déclarées ; le point de vue des femmes n'a pas été recueilli. L'observation, d'une demi-journée par centre, est exposée à un effet de la présence de l'observateur. Les données de routine, de qualité limitée</w:t>
      </w:r>
      <w:r>
        <w:rPr/>
        <w:t xml:space="preserve"> [6]</w:t>
      </w:r>
      <w:r>
        <w:rPr>
          <w:i w:val="false"/>
          <w:iCs w:val="false"/>
        </w:rPr>
        <w:t>, ne servent qu'à décrire le contexte. L'étude porte sur un seul district : ses résultats ne se généralisent pas, mais la description du contexte permet d'apprécier leur transférabilité.</w:t>
      </w:r>
    </w:p>
    <w:p>
      <w:pPr>
        <w:pStyle w:val="Heading1"/>
        <w:spacing w:before="280" w:after="160"/>
        <w:rPr/>
      </w:pPr>
      <w:r>
        <w:rPr/>
        <w:t>8. CONCLUSION</w:t>
      </w:r>
    </w:p>
    <w:p>
      <w:pPr>
        <w:pStyle w:val="Normal"/>
        <w:spacing w:before="0" w:after="140"/>
        <w:jc w:val="both"/>
        <w:rPr/>
      </w:pPr>
      <w:r>
        <w:rPr>
          <w:i w:val="false"/>
          <w:iCs w:val="false"/>
        </w:rPr>
        <w:t>Le dépistage de l'hypertension et du diabète en CPN est accepté par les professionnels comme relevant de leur mandat, mais il n'est réalisé qu'à moitié : la tension est mesurée, la glycémie, prévue pour toutes à la première CPN, n'est effectivement faite que dans 5 centres sur 15 et n'est pas refaite entre 24 et 28 semaines. Garantir les bandelettes du test initial et rendre praticable le dépistage à 24-28 semaines, compter les actes de dépistage et leur suite, et soutenir la pratique informative sont les trois leviers qui ressortent de l'étude.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5.</w:t>
        <w:tab/>
        <w:t>World Health Organization. Ottawa Charter for Health Promotion. Geneva: WHO; 1986.</w:t>
      </w:r>
    </w:p>
    <w:p>
      <w:pPr>
        <w:pStyle w:val="Bibliographie"/>
        <w:rPr/>
      </w:pPr>
      <w:r>
        <w:rPr/>
        <w:t>6.</w:t>
        <w:tab/>
        <w:t>Nshimyiryo A, Kirk CM, Sauer SM, Ntawuyirusha E, Muhire A, Sayinzoga F, Hedt-Gauthier B. Health management information system (HMIS) data verification: a case study in four districts in Rwanda. PLoS ONE. 2020;15(7):e0235823. doi:10.1371/journal.pone.0235823.</w:t>
      </w:r>
    </w:p>
    <w:p>
      <w:pPr>
        <w:pStyle w:val="Normal"/>
        <w:rPr/>
      </w:pPr>
      <w:r>
        <w:rPr/>
      </w:r>
      <w:r>
        <w:br w:type="page"/>
      </w:r>
    </w:p>
    <w:tbl>
      <w:tblPr>
        <w:tblW w:w="8787" w:type="dxa"/>
        <w:jc w:val="left"/>
        <w:tblInd w:w="0" w:type="dxa"/>
        <w:tblLayout w:type="fixed"/>
        <w:tblCellMar>
          <w:top w:w="120" w:type="dxa"/>
          <w:left w:w="160" w:type="dxa"/>
          <w:bottom w:w="120" w:type="dxa"/>
          <w:right w:w="160" w:type="dxa"/>
        </w:tblCellMar>
      </w:tblPr>
      <w:tblGrid>
        <w:gridCol w:w="8787"/>
      </w:tblGrid>
      <w:tr>
        <w:trPr/>
        <w:tc>
          <w:tcPr>
            <w:tcW w:w="8787" w:type="dxa"/>
            <w:tcBorders>
              <w:top w:val="single" w:sz="10" w:space="0" w:color="C0392B"/>
              <w:left w:val="single" w:sz="10" w:space="0" w:color="C0392B"/>
              <w:bottom w:val="single" w:sz="10" w:space="0" w:color="C0392B"/>
              <w:right w:val="single" w:sz="10" w:space="0" w:color="C0392B"/>
            </w:tcBorders>
            <w:shd w:color="auto" w:fill="FDEDEC" w:val="clear"/>
          </w:tcPr>
          <w:p>
            <w:pPr>
              <w:pStyle w:val="Normal"/>
              <w:pageBreakBefore/>
              <w:spacing w:lineRule="auto" w:line="240" w:before="0" w:after="40"/>
              <w:jc w:val="left"/>
              <w:rPr>
                <w:sz w:val="22"/>
                <w:szCs w:val="22"/>
              </w:rPr>
            </w:pPr>
            <w:r>
              <w:rPr>
                <w:b/>
                <w:bCs/>
                <w:color w:val="C0392B"/>
                <w:sz w:val="22"/>
                <w:szCs w:val="22"/>
              </w:rPr>
              <w:t>PAGE D'EXERCICE — À RETIRER</w:t>
            </w:r>
          </w:p>
          <w:p>
            <w:pPr>
              <w:pStyle w:val="Normal"/>
              <w:spacing w:lineRule="auto" w:line="240" w:before="40" w:after="40"/>
              <w:jc w:val="left"/>
              <w:rPr>
                <w:sz w:val="22"/>
                <w:szCs w:val="22"/>
              </w:rPr>
            </w:pPr>
            <w:r>
              <w:rPr>
                <w:sz w:val="22"/>
                <w:szCs w:val="22"/>
              </w:rPr>
              <w:t>Exercice de formation : les entretiens, observations et données de routine de ce document sont simulés. Aucun résultat ne décrit le district de Ngoma. Avec les données réelles, tout est à refaire à partir du dossier vierge (kit-donnees-reelles).</w:t>
            </w:r>
          </w:p>
        </w:tc>
      </w:tr>
    </w:tbl>
    <w:p>
      <w:pPr>
        <w:pStyle w:val="Normal"/>
        <w:rPr/>
      </w:pPr>
      <w:r>
        <w:rPr/>
      </w:r>
    </w:p>
    <w:p>
      <w:pPr>
        <w:pStyle w:val="Heading2"/>
        <w:spacing w:before="220" w:after="120"/>
        <w:rPr/>
      </w:pPr>
      <w:r>
        <w:rPr/>
        <w:t>Ce qui reste à compléter</w:t>
      </w:r>
    </w:p>
    <w:p>
      <w:pPr>
        <w:pStyle w:val="ListParagraph"/>
        <w:numPr>
          <w:ilvl w:val="0"/>
          <w:numId w:val="1"/>
        </w:numPr>
        <w:spacing w:before="0" w:after="80"/>
        <w:rPr/>
      </w:pPr>
      <w:r>
        <w:rPr/>
        <w:t>Liste du personnel de l'École : à recopier depuis la liste officielle de l'ENATSE de l'année du dépôt.</w:t>
      </w:r>
    </w:p>
    <w:p>
      <w:pPr>
        <w:pStyle w:val="ListParagraph"/>
        <w:numPr>
          <w:ilvl w:val="0"/>
          <w:numId w:val="1"/>
        </w:numPr>
        <w:spacing w:before="0" w:after="80"/>
        <w:rPr/>
      </w:pPr>
      <w:r>
        <w:rPr/>
        <w:t>Dédicace, et hommages aux membres du jury : à écrire soi-même ; les noms du jury ne sont connus qu'après sa désignation.</w:t>
      </w:r>
    </w:p>
    <w:p>
      <w:pPr>
        <w:pStyle w:val="ListParagraph"/>
        <w:numPr>
          <w:ilvl w:val="0"/>
          <w:numId w:val="1"/>
        </w:numPr>
        <w:spacing w:before="0" w:after="80"/>
        <w:rPr/>
      </w:pPr>
      <w:r>
        <w:rPr/>
        <w:t>Annexe 6 et § 4.2.7 : numéros et dates de l'approbation du comité d'éthique et de l'autorisation du district — jamais inventés, recopiés des documents reçus.</w:t>
      </w:r>
    </w:p>
    <w:p>
      <w:pPr>
        <w:pStyle w:val="ListParagraph"/>
        <w:numPr>
          <w:ilvl w:val="0"/>
          <w:numId w:val="1"/>
        </w:numPr>
        <w:spacing w:before="0" w:after="80"/>
        <w:rPr/>
      </w:pPr>
      <w:r>
        <w:rPr/>
        <w:t>Annexe 5 : versions kinyarwanda et anglaise des outils issues de la traduction et de la rétro-traduction.</w:t>
      </w:r>
    </w:p>
    <w:p>
      <w:pPr>
        <w:pStyle w:val="ListParagraph"/>
        <w:numPr>
          <w:ilvl w:val="0"/>
          <w:numId w:val="1"/>
        </w:numPr>
        <w:spacing w:before="0" w:after="80"/>
        <w:rPr/>
      </w:pPr>
      <w:r>
        <w:rPr/>
        <w:t>Note de positionnalité : la question laissée entre crochets (exercice antérieur dans le district de Ngoma).</w:t>
      </w:r>
    </w:p>
    <w:p>
      <w:pPr>
        <w:pStyle w:val="ListParagraph"/>
        <w:numPr>
          <w:ilvl w:val="0"/>
          <w:numId w:val="1"/>
        </w:numPr>
        <w:spacing w:before="0" w:after="80"/>
        <w:rPr/>
      </w:pPr>
      <w:r>
        <w:rPr/>
        <w:t>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before="220" w:after="120"/>
        <w:rPr/>
      </w:pPr>
      <w:r>
        <w:rPr/>
        <w:t>Ce qui reste à vérifier</w:t>
      </w:r>
    </w:p>
    <w:p>
      <w:pPr>
        <w:pStyle w:val="ListParagraph"/>
        <w:numPr>
          <w:ilvl w:val="0"/>
          <w:numId w:val="1"/>
        </w:numPr>
        <w:spacing w:before="0" w:after="80"/>
        <w:rPr/>
      </w:pPr>
      <w:r>
        <w:rPr/>
        <w:t>Figure 2 (carte du district de Ngoma) : la source n'est pas indiquée dans le protocole ; l'ajouter sous la figure.</w:t>
      </w:r>
    </w:p>
    <w:p>
      <w:pPr>
        <w:pStyle w:val="ListParagraph"/>
        <w:numPr>
          <w:ilvl w:val="0"/>
          <w:numId w:val="1"/>
        </w:numPr>
        <w:spacing w:before="0" w:after="80"/>
        <w:rPr/>
      </w:pPr>
      <w:r>
        <w:rPr/>
        <w:t>Annexe 1 (guide d'entretien) : la numérotation passe de la section 5 à la section 7 dans le protocole ; corriger ou expliquer.</w:t>
      </w:r>
    </w:p>
    <w:p>
      <w:pPr>
        <w:pStyle w:val="ListParagraph"/>
        <w:numPr>
          <w:ilvl w:val="0"/>
          <w:numId w:val="1"/>
        </w:numPr>
        <w:spacing w:before="0" w:after="80"/>
        <w:rPr/>
      </w:pPr>
      <w:r>
        <w:rPr/>
        <w:t>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before="0" w:after="80"/>
        <w:rPr/>
      </w:pPr>
      <w:r>
        <w:rPr/>
        <w:t>Glycémie à la première CPN pour toutes, et absence de dépistage systématique à 24-28 semaines : vérifier dans les directives nationales de CPN (RBC, 2021) et le protocole de 2012 avant de l'écrire comme un fait dans le mémoire réel ; compléter la liste des auteurs de Schmidt et al. (2021).</w:t>
      </w:r>
    </w:p>
    <w:p>
      <w:pPr>
        <w:pStyle w:val="ListParagraph"/>
        <w:numPr>
          <w:ilvl w:val="0"/>
          <w:numId w:val="1"/>
        </w:numPr>
        <w:spacing w:before="0" w:after="80"/>
        <w:rPr/>
      </w:pPr>
      <w:r>
        <w:rPr/>
        <w:t>Mise en forme appliquée (Times New Roman 14, interligne 1,5, marges de 2,5 cm et 3 cm à gauche ; annexes, listes et références en 12 pt à interligne simple) : à confronter au document des règles de rédaction de l'ENATSE.</w:t>
      </w:r>
    </w:p>
    <w:p>
      <w:pPr>
        <w:pStyle w:val="ListParagraph"/>
        <w:numPr>
          <w:ilvl w:val="0"/>
          <w:numId w:val="1"/>
        </w:numPr>
        <w:spacing w:before="0" w:after="80"/>
        <w:rPr/>
      </w:pPr>
      <w:r>
        <w:rPr/>
        <w:t>Limite de 70 pages : le mémoire en compte 69, de la page de garde à l'abstract, annexes comprises, mesurées avec l'interligne 1,5 réel. Pour y tenir, 28 paragraphes des chapitres 1 à 4 du protocole ne sont pas repris (liste CONDENSATION dans faire-memoire.mjs) et le tableau de cohérence (annexe 8 du protocole) n'est pas reproduit : à valider avec la direction de mémoire.</w:t>
      </w:r>
    </w:p>
    <w:p>
      <w:pPr>
        <w:pStyle w:val="ListParagraph"/>
        <w:numPr>
          <w:ilvl w:val="0"/>
          <w:numId w:val="1"/>
        </w:numPr>
        <w:spacing w:before="0" w:after="80"/>
        <w:rPr/>
      </w:pPr>
      <w:r>
        <w:rPr/>
        <w:t>Références 72 à 80, ajoutées pendant la rédaction de la discussion : vérifier chacune dans sa source (auteurs, année, volume, pages) avant de la conserver.</w:t>
      </w:r>
    </w:p>
    <w:p>
      <w:pPr>
        <w:pStyle w:val="ListParagraph"/>
        <w:numPr>
          <w:ilvl w:val="0"/>
          <w:numId w:val="1"/>
        </w:numPr>
        <w:spacing w:before="0" w:after="80"/>
        <w:rPr/>
      </w:pPr>
      <w:r>
        <w:rPr/>
        <w:t>Chiffres nationaux cités dans la discussion (STEPS 2022 [3] : 87,0 % des femmes jamais testées pour la glycémie, 38 % jamais pour la tension ; Meharry 2019 [4] : protocole national de 2012 et prévalence de 3,2 %) : relevés dans les résumés publiés ; les confirmer dans le texte intégral.</w:t>
      </w:r>
    </w:p>
    <w:p>
      <w:pPr>
        <w:pStyle w:val="ListParagraph"/>
        <w:numPr>
          <w:ilvl w:val="0"/>
          <w:numId w:val="1"/>
        </w:numPr>
        <w:spacing w:before="0" w:after="80"/>
        <w:rPr/>
      </w:pPr>
      <w:r>
        <w:rPr/>
        <w:t>Objectif spécifique 1 du protocole : « information capacitances » est une coquille pour « information capacitante » (corrigée dans le rapport et le mémoire, à corriger dans le protocole).</w:t>
      </w:r>
    </w:p>
    <w:p>
      <w:pPr>
        <w:pStyle w:val="ListParagraph"/>
        <w:numPr>
          <w:ilvl w:val="0"/>
          <w:numId w:val="1"/>
        </w:numPr>
        <w:spacing w:before="0" w:after="80"/>
        <w:rPr/>
      </w:pPr>
      <w:r>
        <w:rPr/>
        <w:t>Figure 3 (cadre conceptuel révisé) : proposition issue de résultats SIMULÉS ; avec les données réelles, le cadre révisé sera à reconstruire à partir des codes inductifs réels.</w:t>
      </w:r>
    </w:p>
    <w:p>
      <w:pPr>
        <w:pStyle w:val="ListParagraph"/>
        <w:numPr>
          <w:ilvl w:val="0"/>
          <w:numId w:val="1"/>
        </w:numPr>
        <w:spacing w:before="0" w:after="80"/>
        <w:rPr/>
      </w:pPr>
      <w:r>
        <w:rPr/>
        <w:t>Écart au protocole (QualiCode au lieu de NVivo, § 4.2.6) : à faire valider par la direction de mémoire.</w:t>
      </w:r>
    </w:p>
    <w:p>
      <w:pPr>
        <w:pStyle w:val="ListParagraph"/>
        <w:numPr>
          <w:ilvl w:val="0"/>
          <w:numId w:val="1"/>
        </w:numPr>
        <w:spacing w:before="0" w:after="80"/>
        <w:rPr/>
      </w:pPr>
      <w:r>
        <w:rPr/>
        <w:t>Sommaire et table des matières : déjà remplis dans le fichier livré ; après toute modification, les mettre à jour dans Word (clic droit → Mettre à jour les champs).</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Ngoma — exercice de formation, données simulées · </w:t>
    </w:r>
    <w:r>
      <w:rPr/>
      <w:fldChar w:fldCharType="begin"/>
    </w:r>
    <w:r>
      <w:rPr/>
      <w:instrText xml:space="preserve"> PAGE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Ngoma — exercice de formation, données simulées · </w:t>
    </w:r>
    <w:r>
      <w:rPr/>
      <w:fldChar w:fldCharType="begin"/>
    </w:r>
    <w:r>
      <w:rPr/>
      <w:instrText xml:space="preserve"> PAGE </w:instrText>
    </w:r>
    <w:r>
      <w:rPr/>
      <w:fldChar w:fldCharType="separate"/>
    </w:r>
    <w:r>
      <w:rPr/>
      <w:t>13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240" w:before="0" w:after="80"/>
    </w:pPr>
    <w:rPr>
      <w:rFonts w:ascii="Times New Roman" w:hAnsi="Times New Roman" w:eastAsia="Times New Roman" w:cs="Times New Roman"/>
      <w:sz w:val="22"/>
      <w:szCs w:val="22"/>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4"/>
      <w:szCs w:val="24"/>
    </w:rPr>
  </w:style>
  <w:style w:type="paragraph" w:styleId="TOC1">
    <w:name w:val="TOC 1"/>
    <w:basedOn w:val="Normal"/>
    <w:next w:val="Normal"/>
    <w:pPr>
      <w:spacing w:lineRule="auto" w:line="240" w:before="0" w:after="0"/>
      <w:ind w:left="0"/>
      <w:jc w:val="left"/>
    </w:pPr>
    <w:rPr>
      <w:rFonts w:ascii="Times New Roman" w:hAnsi="Times New Roman" w:eastAsia="Times New Roman" w:cs="Times New Roman"/>
      <w:sz w:val="24"/>
      <w:szCs w:val="24"/>
    </w:rPr>
  </w:style>
  <w:style w:type="paragraph" w:styleId="TOC2">
    <w:name w:val="TOC 2"/>
    <w:basedOn w:val="Normal"/>
    <w:next w:val="Normal"/>
    <w:pPr>
      <w:spacing w:lineRule="auto" w:line="240" w:before="0" w:after="0"/>
      <w:ind w:left="240"/>
      <w:jc w:val="left"/>
    </w:pPr>
    <w:rPr>
      <w:rFonts w:ascii="Times New Roman" w:hAnsi="Times New Roman" w:eastAsia="Times New Roman" w:cs="Times New Roman"/>
      <w:sz w:val="24"/>
      <w:szCs w:val="24"/>
    </w:rPr>
  </w:style>
  <w:style w:type="paragraph" w:styleId="TOC3">
    <w:name w:val="TOC 3"/>
    <w:basedOn w:val="Normal"/>
    <w:next w:val="Normal"/>
    <w:pPr>
      <w:spacing w:lineRule="auto" w:line="240" w:before="0" w:after="0"/>
      <w:ind w:left="480"/>
      <w:jc w:val="left"/>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2026-10-02T12:39:39Z</dcterms:created>
  <dc:creator>Un-named</dc:creator>
  <dc:description/>
  <dc:language>en-US</dc:language>
  <cp:lastModifiedBy>Un-named</cp:lastModifiedBy>
  <dcterms:modified xsi:type="dcterms:W3CDTF">2026-10-02T12:39:39Z</dcterms:modified>
  <cp:revision>1</cp:revision>
  <dc:subject/>
  <dc:title/>
</cp:coreProperties>
</file>