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140"/>
        <w:jc w:val="both"/>
      </w:pPr>
      <w:r>
        <w:rPr>
          <w:i w:val="false"/>
          <w:iCs w:val="false"/>
          <w:sz w:val="22"/>
          <w:szCs w:val="22"/>
        </w:rPr>
        <w:t xml:space="preserve">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sont des propos notés pendant l'entretien et mis au propre le jour même, non des transcriptions d'enregistrement ; ceux qui sont traduits du kinyarwanda sont signalés, et la version originale les accompagne (§ 4.2.6).</w:t>
      </w:r>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6026"/>
            <w:tcMar>
              <w:top w:type="dxa" w:w="60"/>
              <w:left w:type="dxa" w:w="100"/>
              <w:bottom w:type="dxa" w:w="60"/>
              <w:right w:type="dxa" w:w="100"/>
            </w:tcMar>
          </w:tcPr>
          <w:p>
            <w:r>
              <w:rPr>
                <w:b w:val="false"/>
                <w:bCs w:val="false"/>
                <w:i w:val="false"/>
                <w:iCs w:val="false"/>
                <w:sz w:val="19"/>
                <w:szCs w:val="19"/>
              </w:rPr>
              <w:t xml:space="preserve">en état : 13 ; en panne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aucun prestataire formé présent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140"/>
        <w:jc w:val="both"/>
      </w:pPr>
      <w:r>
        <w:rPr>
          <w:i w:val="false"/>
          <w:iCs w:val="false"/>
          <w:sz w:val="22"/>
          <w:szCs w:val="22"/>
        </w:rPr>
        <w:t xml:space="preserve">Le tensiomètre et le glucomètre étaient présents en salle de CPN dans les 15 centres : la glycémie de la première CPN y est la règle pour toutes les femmes. Le jour de l'observation, elle était faite dans 8 centres ; dans les 7 autres, elle ne l'était pas, faute de bandelettes valides (3), d'un appareil en état (2) ou d'un prestataire formé présent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test pour toutes, sauf les jours où il manque quelque chose</w:t>
      </w:r>
    </w:p>
    <w:p>
      <w:pPr>
        <w:spacing w:after="140"/>
        <w:jc w:val="both"/>
      </w:pPr>
      <w:r>
        <w:rPr>
          <w:i w:val="false"/>
          <w:iCs w:val="false"/>
          <w:sz w:val="22"/>
          <w:szCs w:val="22"/>
        </w:rPr>
        <w:t xml:space="preserve">Définition. La tension est mesurée à chaque visite ; la glycémie est faite à toutes au premier contact, en salle de CPN, mais elle saute les jours de rupture de bandelettes, de panne du glucomètre ou d'absence d'un prestataire formé à son usage. La femme reçue ces jours-là n'est presque jamais rattrapée, et le test, même quand il est fait, n'est pas refait entre 24 et 28 semaines.</w:t>
      </w:r>
    </w:p>
    <w:p>
      <w:pPr>
        <w:spacing w:after="140"/>
        <w:jc w:val="both"/>
      </w:pPr>
      <w:r>
        <w:rPr>
          <w:i w:val="false"/>
          <w:iCs w:val="false"/>
          <w:sz w:val="22"/>
          <w:szCs w:val="22"/>
        </w:rPr>
        <w:t xml:space="preserve">Tous les participants (20) décrivent la glycémie de la première CPN comme une règle pour toutes ; 16 décrivent des jours, des semaines ou des mois où elle ne se fait pas. Trois causes reviennent : la rupture ou la péremption des bandelettes, dont la CPN partage le stock avec la consultation des maladies chroniques (6 participants évoquent cette concurrence) ; la panne d'un appareil que personne ne répare (5) ; et l'absence, certains jours, du seul prestataire qui sait se servir du glucomètre, ses collègues n'ayant jamais été formés à son usage. Même la tension connaît des omissions faute d'appareil disponible (9 participants), et le savoir glycémique s'érode quand il n'est pas pratiqué (3).</w:t>
      </w:r>
    </w:p>
    <w:p>
      <w:pPr>
        <w:spacing w:after="40" w:before="60"/>
        <w:ind w:left="567" w:right="567"/>
        <w:jc w:val="both"/>
      </w:pPr>
      <w:r>
        <w:rPr>
          <w:i/>
          <w:iCs/>
          <w:sz w:val="21"/>
          <w:szCs w:val="21"/>
        </w:rPr>
        <w:t xml:space="preserve">« Le sucre, c'est pour toutes à la première visite, c'est sur la fiche, et le glucomètre est là, sur la table. Mais c'est ma collègue qui s'en sert ; moi, on ne m'a jamais formé à cet appareil. Quand elle est en congé, la case du sucre reste vide, et personne ne rappelle ces femmes.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Onze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où la femme se présente et de la personne qui la reçoit.</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14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14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générale pour toutes les présentes, sur la nutrition, les signes de danger, le planning familial ou la mutuelle ; la tension n'y apparaît qu'à travers les signes de danger (thème observé dans 5 centres) et le sucre presque jamais. Elle commence avant l'arrivée des femmes des collines éloignées. Quatre participants discutent de son usage : pour les uns, elle « prépare le terrain » sans remplacer la restitution du résultat ; pour d'autres, les jours d'affluence, elle en tient lieu.</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14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14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14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spacing w:after="40" w:before="60"/>
        <w:ind w:left="567" w:right="567"/>
        <w:jc w:val="both"/>
      </w:pPr>
      <w:r>
        <w:rPr>
          <w:i/>
          <w:iCs/>
          <w:sz w:val="21"/>
          <w:szCs w:val="21"/>
        </w:rPr>
        <w:t xml:space="preserve">« Le protocole parle d'une épreuve à ce moment-là, mais ici personne ne la fait : il faudrait que la femme vienne à jeun et reste deux heures. »</w:t>
      </w:r>
    </w:p>
    <w:p>
      <w:pPr>
        <w:spacing w:after="160"/>
        <w:ind w:left="567" w:right="567"/>
        <w:jc w:val="right"/>
      </w:pPr>
      <w:r>
        <w:rPr>
          <w:color w:val="444444"/>
          <w:sz w:val="19"/>
          <w:szCs w:val="19"/>
        </w:rPr>
        <w:t xml:space="preserve">(P11, sage-femme)</w:t>
      </w:r>
    </w:p>
    <w:p>
      <w:pPr>
        <w:pStyle w:val="Heading3"/>
        <w:spacing w:after="100" w:before="180"/>
      </w:pPr>
      <w:r>
        <w:t xml:space="preserve">5.3.4.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Deux dispositifs nationaux pèsent sur ce parcours. La venue du conjoint à la première CPN, liée au test VIH du couple, est comprise comme une condition d'accueil : des femmes attendent qu'il soit disponible et arrivent à quatre ou cinq mois, ce qui retarde aussi la glycémie (2 participantes). Les aides ciblées de l'ubudehe — mutuelle prise en charge, farine Shisha Kibondo — fidélisent les femmes des ménages les plus pauvres ; la difficulté se déplace vers celles qui sont juste au-dessus du seuil (2 participants).</w:t>
      </w:r>
    </w:p>
    <w:p>
      <w:pPr>
        <w:spacing w:after="40" w:before="60"/>
        <w:ind w:left="567" w:right="567"/>
        <w:jc w:val="both"/>
      </w:pPr>
      <w:r>
        <w:rPr>
          <w:i/>
          <w:iCs/>
          <w:sz w:val="21"/>
          <w:szCs w:val="21"/>
        </w:rPr>
        <w:t xml:space="preserve">« Les plus difficiles, ce sont celles juste au-dessus : pas assez pauvres pour être aidées, pas assez riches pour payer la mutuelle à temps. Celles-là, on les perd. »</w:t>
      </w:r>
    </w:p>
    <w:p>
      <w:pPr>
        <w:spacing w:after="160"/>
        <w:ind w:left="567" w:right="567"/>
        <w:jc w:val="right"/>
      </w:pPr>
      <w:r>
        <w:rPr>
          <w:color w:val="444444"/>
          <w:sz w:val="19"/>
          <w:szCs w:val="19"/>
        </w:rPr>
        <w:t xml:space="preserve">(P06, sage-femme — traduit du kinyarwanda)</w:t>
      </w:r>
    </w:p>
    <w:p>
      <w:pPr>
        <w:spacing w:after="14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3"/>
        <w:spacing w:after="100" w:before="180"/>
      </w:pPr>
      <w:r>
        <w:t xml:space="preserve">5.3.5.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5.3.6.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14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140"/>
        <w:jc w:val="both"/>
      </w:pPr>
      <w:r>
        <w:rPr>
          <w:i w:val="false"/>
          <w:iCs w:val="false"/>
          <w:sz w:val="22"/>
          <w:szCs w:val="22"/>
        </w:rPr>
        <w:t xml:space="preserve">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keepNext/>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keepNext/>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keepNext/>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keepNext/>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Refus de juger</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2</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7</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5</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3</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2</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40" w:before="60"/>
        <w:ind w:left="567" w:right="567"/>
        <w:jc w:val="both"/>
      </w:pPr>
      <w:r>
        <w:rPr>
          <w:i/>
          <w:iCs/>
          <w:sz w:val="21"/>
          <w:szCs w:val="21"/>
        </w:rPr>
        <w:t xml:space="preserve">«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140"/>
        <w:jc w:val="both"/>
      </w:pPr>
      <w:r>
        <w:rPr>
          <w:i w:val="false"/>
          <w:iCs w:val="false"/>
          <w:sz w:val="22"/>
          <w:szCs w:val="22"/>
        </w:rPr>
        <w:t xml:space="preserve">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 D'autres proposent d'inscrire la tension et le sucre au programme des séances d'éducation, ou de passer par l'umugoroba w'ababyeyi, le forum villageois des parents, pour atteindre les maris et les familles (2).</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pStyle w:val="Heading2"/>
        <w:spacing w:after="120" w:before="220"/>
      </w:pPr>
      <w:r>
        <w:t xml:space="preserve">5.5. Triangulation et synthèse</w:t>
      </w:r>
    </w:p>
    <w:p>
      <w:pPr>
        <w:spacing w:after="140"/>
        <w:jc w:val="both"/>
      </w:pPr>
      <w:r>
        <w:rPr>
          <w:i w:val="false"/>
          <w:iCs w:val="false"/>
          <w:sz w:val="22"/>
          <w:szCs w:val="22"/>
        </w:rPr>
        <w:t xml:space="preserve">Sur les 15 centres observés, 8 ont fait l'objet d'un constat de confrontation entre propos et observation : 6 concordances et 2 écarts. L'observation a confirmé la glycémie de la première CPN là où elle se fait, montré ses interruptions et le rattrapage là où il existe, et corroboré l'effet de registre du thème 6 et le contenu des séances d'éducation ; les écarts, consignés sans être imputés à une intention, portent sur une mesure déclarée systématique et sur une explication déclarée individualisée. Les données de routine du district situent la part des premières CPN ayant reçu une glycémie entre 38 % et 95 % selon les centres, plus bas là où ruptures, pannes ou manque de personnel formé se sont accumulés ; elles montrent aussi un premier contact plus tardif dans les secteurs les plus pauvres.</w:t>
      </w:r>
    </w:p>
    <w:p>
      <w:pPr>
        <w:spacing w:after="140"/>
        <w:jc w:val="both"/>
      </w:pPr>
      <w:r>
        <w:rPr>
          <w:i w:val="false"/>
          <w:iCs w:val="false"/>
          <w:sz w:val="22"/>
          <w:szCs w:val="22"/>
        </w:rPr>
        <w:t xml:space="preserve">Le tableau VII rassemble les sept thèmes. Ils décrivent un dépistage dont la réalisation dépend moins de la volonté des professionnels que de conditions qu'ils ne maîtrisent pas — les bandelettes, l'appareil et la formation dont dépend la glycémie, le temps, le véhicule, l'indicateur, les moyens du ménage après le diagnostic —, mais aussi d'une part qui leur revient : l'explication.</w:t>
      </w:r>
    </w:p>
    <w:p>
      <w:pPr>
        <w:keepNext/>
        <w:spacing w:after="80" w:before="200"/>
      </w:pPr>
      <w:r>
        <w:rPr>
          <w:b/>
          <w:bCs/>
          <w:sz w:val="20"/>
          <w:szCs w:val="20"/>
        </w:rPr>
        <w:t xml:space="preserve">Tableau VII.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mesurée à chaque visite ; la glycémie est faite à toutes au premier contact, mais saute les jours de rupture, de panne ou d'absence d'un prestataire formé, sans rattrapage, et n'est pas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l'attente du conjoint et l'effet de seuil de l'ubudehe pèsent sur le parcours ; après le diagnostic, l'autosurveillance à domicile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Bandelettes, appareil et formation rendent le test initial régulier, mais ne règlent ni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2026-10-03T04:38:01.288Z</dcterms:created>
  <dcterms:modified xsi:type="dcterms:W3CDTF">2026-10-03T04:38:01.288Z</dcterms:modified>
</cp:coreProperties>
</file>

<file path=docProps/custom.xml><?xml version="1.0" encoding="utf-8"?>
<Properties xmlns="http://schemas.openxmlformats.org/officeDocument/2006/custom-properties" xmlns:vt="http://schemas.openxmlformats.org/officeDocument/2006/docPropsVTypes"/>
</file>