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20 entretiens conduits (index ci-dessous ; transcriptions intégrales dans le document 2)</w:t>
      </w:r>
    </w:p>
    <w:p>
      <w:pPr>
        <w:spacing w:after="80"/>
        <w:rPr>
          <w:sz w:val="20"/>
          <w:szCs w:val="20"/>
        </w:rPr>
      </w:pPr>
      <w:r>
        <w:rPr>
          <w:sz w:val="20"/>
          <w:szCs w:val="20"/>
        </w:rPr>
        <w:t xml:space="preserve">· Annexe 2 — guide d'observation du service : 15 grilles, une par centre de santé</w:t>
      </w:r>
    </w:p>
    <w:p>
      <w:pPr>
        <w:spacing w:after="80"/>
        <w:rPr>
          <w:sz w:val="20"/>
          <w:szCs w:val="20"/>
        </w:rPr>
      </w:pPr>
      <w:r>
        <w:rPr>
          <w:sz w:val="20"/>
          <w:szCs w:val="20"/>
        </w:rPr>
        <w:t xml:space="preserve">· Annexe 3 — fiche de données sociodémographiques et professionnelles : 20 fiches</w:t>
      </w:r>
    </w:p>
    <w:p>
      <w:pPr>
        <w:spacing w:after="80"/>
        <w:rPr>
          <w:sz w:val="20"/>
          <w:szCs w:val="20"/>
        </w:rPr>
      </w:pPr>
      <w:r>
        <w:rPr>
          <w:sz w:val="20"/>
          <w:szCs w:val="20"/>
        </w:rPr>
        <w:t xml:space="preserve">· Annexe 4 — registre de suivi des consentements : 20 participants</w:t>
      </w:r>
    </w:p>
    <w:p>
      <w:pPr>
        <w:spacing w:after="80"/>
        <w:rPr>
          <w:sz w:val="20"/>
          <w:szCs w:val="20"/>
        </w:rPr>
      </w:pPr>
      <w:r>
        <w:rPr>
          <w:sz w:val="20"/>
          <w:szCs w:val="20"/>
        </w:rPr>
        <w:t xml:space="preserve">· Annexe 9 — données de routine du district : 15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(10 participants, les 10 autres centres). Ensemble, elles couvrent 15 des seize centres de santé du district (le seizième a servi au pré-test),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10 sages-femmes (P02, P03, P06, P07, P10, P11, P13, P15, P17, P19)</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5 titulaires (P01, P05, P09, P12, P16)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14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14 ruraux (CS04, CS05, CS07, CS08, CS09, CS10, CS11, CS12, CS13, CS14, CS15)</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14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13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14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au laboratoire du centre, un de réserve sous clé</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Glycémies de CPN réalisées au laboratoire sur bon, le matin même ; plusieurs bons de CPN au registre du laboratoire pendant la demi-journée. Glycémie de la première CPN pour toutes ;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Fiche de stock tenue à jour, part réservée à la CPN,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presque toutes les lignes de première CPN et absente des visites suivantes, ce qui correspond au test unique de la première CPN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circuit de la glycémie — bon rempli en CPN, test au laboratoire, résultat rapporté le matin même — fonctionne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(test de contrôle effectué le matin)</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Non utilisé pour la CPN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elle est vide sur les pages de 2026, période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réservé en priorité à la consultation MNT et aux demandes de CPN jugées justifiées.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la majorité des lignes de première visite ; rubrique absente des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rangé à la consultation MNT (jeudi)</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l'appareil n'est pas utilisé pour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présente et vide.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 valides.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de laboratoire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aucune demande de glycémie émanant de la CPN au registre du laboratoire sur le mois consulté.</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Réservées à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présente et vide : le test n'est pas fait pour la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l'organisation du centre, où le seul glucomètre est au laboratoire et sert la consultation des malades chroniques,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Panne signalée selon l'équipe ; les glycémies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Prévu dans la dotation du laboratoire selon l'équipe, non livré ; le laboratoire n'est pas encore opérationnel.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le laboratoire accepte les bons de la CPN : glycémie de la première CPN pour toutes, puis sur facteurs de risque.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Laboratoire en rupture depuis environ deux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Appareil reçu il y a environ deux ans ; en panne depuis une date que l'équipe ne situe pas précisément.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jamais pour la CPN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présente et vide : le glucomètre sert à la consultation MNT.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350 (41 %)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790 (80 %)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250 (58 %)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450 (50 %)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610 (85 %)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300 (46 %)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380 (70 %)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pour situer les valeurs simulées</w:t>
      </w:r>
    </w:p>
    <w:p>
      <w:pPr>
        <w:rPr>
          <w:i/>
          <w:iCs/>
          <w:sz w:val="19"/>
          <w:szCs w:val="19"/>
        </w:rPr>
      </w:pPr>
      <w:r>
        <w:rPr>
          <w:i/>
          <w:iCs/>
          <w:sz w:val="19"/>
          <w:szCs w:val="19"/>
        </w:rPr>
        <w:t xml:space="preserve">Les valeurs simulées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2026-10-03T02:09:16.416Z</dcterms:created>
  <dcterms:modified xsi:type="dcterms:W3CDTF">2026-10-03T02:09:16.416Z</dcterms:modified>
</cp:coreProperties>
</file>

<file path=docProps/custom.xml><?xml version="1.0" encoding="utf-8"?>
<Properties xmlns="http://schemas.openxmlformats.org/officeDocument/2006/custom-properties" xmlns:vt="http://schemas.openxmlformats.org/officeDocument/2006/docPropsVTypes"/>
</file>