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1F2933"/>
          <w:sz w:val="48"/>
        </w:rPr>
        <w:t>AI-enabled legal technology support</w:t>
      </w:r>
    </w:p>
    <w:p>
      <w:pPr>
        <w:spacing w:after="280"/>
      </w:pPr>
      <w:r>
        <w:rPr>
          <w:color w:val="58606B"/>
          <w:sz w:val="20"/>
        </w:rPr>
        <w:t>Discussion follow-up · synthetic proof of concept · September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</w:tcPr>
          <w:p>
            <w:pPr>
              <w:spacing w:after="0"/>
            </w:pPr>
            <w:r>
              <w:rPr>
                <w:b/>
                <w:color w:val="2E74B5"/>
                <w:sz w:val="24"/>
              </w:rPr>
              <w:t>The proposition</w:t>
            </w:r>
            <w:r>
              <w:br/>
              <w:t>Use AI to prepare a better next action while deterministic controls and accountable people retain authority. Continue investing only when quality, safety, useful adoption and full-cost evidence justify it.</w:t>
            </w:r>
          </w:p>
        </w:tc>
      </w:tr>
    </w:tbl>
    <w:p>
      <w:pPr>
        <w:pStyle w:val="Heading1"/>
      </w:pPr>
      <w:r>
        <w:t>What the prototype demonstrates</w:t>
      </w:r>
    </w:p>
    <w:p>
      <w:pPr>
        <w:pStyle w:val="ListBullet"/>
        <w:spacing w:after="100"/>
        <w:ind w:left="720" w:hanging="360"/>
      </w:pPr>
      <w:r>
        <w:t>A repeatable support pattern: frame the need, use permitted evidence, prepare a proposal, apply controls and measure the outcome.</w:t>
      </w:r>
    </w:p>
    <w:p>
      <w:pPr>
        <w:pStyle w:val="ListBullet"/>
        <w:spacing w:after="100"/>
        <w:ind w:left="720" w:hanging="360"/>
      </w:pPr>
      <w:r>
        <w:t>Safe handling of normal and failure cases, including duplicate prevention, timeout recovery, restricted access and invalid reference data.</w:t>
      </w:r>
    </w:p>
    <w:p>
      <w:pPr>
        <w:pStyle w:val="ListBullet"/>
        <w:spacing w:after="100"/>
        <w:ind w:left="720" w:hanging="360"/>
      </w:pPr>
      <w:r>
        <w:t>Reusable prompts, skills and review automations with versioning, named approval, rollback, retirement and explicit stop conditions.</w:t>
      </w:r>
    </w:p>
    <w:p>
      <w:pPr>
        <w:pStyle w:val="ListBullet"/>
        <w:spacing w:after="100"/>
        <w:ind w:left="720" w:hanging="360"/>
      </w:pPr>
      <w:r>
        <w:t>Visible quality, model-use and cost evidence beside the operational result.</w:t>
      </w:r>
    </w:p>
    <w:p>
      <w:pPr>
        <w:pStyle w:val="Heading1"/>
      </w:pPr>
      <w:r>
        <w:t>What it does not claim</w:t>
      </w:r>
    </w:p>
    <w:p>
      <w:r>
        <w:t>The demonstration uses fictional people, matters, clients, tickets and outcomes. It is not ABL data, architecture or configuration, and it does not establish realised savings, professional-quality improvement, adoption or commercial return.</w:t>
      </w:r>
    </w:p>
    <w:p>
      <w:pPr>
        <w:pStyle w:val="Heading1"/>
      </w:pPr>
      <w:r>
        <w:t>A proportionate pilot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2F4F7"/>
            <w:tcW w:w="3120" w:type="dxa"/>
          </w:tcPr>
          <w:p>
            <w:pPr>
              <w:spacing w:after="60"/>
            </w:pPr>
            <w:r>
              <w:rPr>
                <w:b/>
                <w:color w:val="2E74B5"/>
              </w:rPr>
              <w:t>1 · Baseline</w:t>
            </w:r>
          </w:p>
        </w:tc>
        <w:tc>
          <w:tcPr>
            <w:tcW w:type="dxa" w:w="3120"/>
            <w:shd w:fill="F2F4F7"/>
            <w:tcW w:w="3120" w:type="dxa"/>
          </w:tcPr>
          <w:p>
            <w:pPr>
              <w:spacing w:after="60"/>
            </w:pPr>
            <w:r>
              <w:rPr>
                <w:b/>
                <w:color w:val="2E74B5"/>
              </w:rPr>
              <w:t>2 · Pilot</w:t>
            </w:r>
          </w:p>
        </w:tc>
        <w:tc>
          <w:tcPr>
            <w:tcW w:type="dxa" w:w="3120"/>
            <w:shd w:fill="F2F4F7"/>
            <w:tcW w:w="3120" w:type="dxa"/>
          </w:tcPr>
          <w:p>
            <w:pPr>
              <w:spacing w:after="60"/>
            </w:pPr>
            <w:r>
              <w:rPr>
                <w:b/>
                <w:color w:val="2E74B5"/>
              </w:rPr>
              <w:t>3 · Decide</w:t>
            </w:r>
          </w:p>
        </w:tc>
      </w:tr>
      <w:tr>
        <w:tc>
          <w:tcPr>
            <w:tcW w:type="dxa" w:w="3120"/>
            <w:tcW w:w="3120" w:type="dxa"/>
          </w:tcPr>
          <w:p>
            <w:pPr>
              <w:spacing w:after="60"/>
            </w:pPr>
            <w:r>
              <w:t>Select one recurring support need and measure current handling, quality, rework and cost.</w:t>
            </w:r>
          </w:p>
        </w:tc>
        <w:tc>
          <w:tcPr>
            <w:tcW w:type="dxa" w:w="3120"/>
            <w:tcW w:w="3120" w:type="dxa"/>
          </w:tcPr>
          <w:p>
            <w:pPr>
              <w:spacing w:after="60"/>
            </w:pPr>
            <w:r>
              <w:t>Use bounded approved data, named owners, human review, an evaluation set and clear stop conditions.</w:t>
            </w:r>
          </w:p>
        </w:tc>
        <w:tc>
          <w:tcPr>
            <w:tcW w:type="dxa" w:w="3120"/>
            <w:tcW w:w="3120" w:type="dxa"/>
          </w:tcPr>
          <w:p>
            <w:pPr>
              <w:spacing w:after="60"/>
            </w:pPr>
            <w:r>
              <w:t>Compare accepted quality, safety, adoption and full cost; keep, change, replace, retire or stop.</w:t>
            </w:r>
          </w:p>
        </w:tc>
      </w:tr>
    </w:tbl>
    <w:p>
      <w:pPr>
        <w:pStyle w:val="Heading1"/>
      </w:pPr>
      <w:r>
        <w:t>Suggested next conversation</w:t>
      </w:r>
    </w:p>
    <w:p>
      <w:r>
        <w:t>Identify one service problem worth testing, the accountable owner, the evidence needed to judge it and the conditions that would stop the experiment. The private technical repository is available if a deeper engineering review is useful; it is supporting material, not the primary experience.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8606B"/>
        <w:sz w:val="18"/>
      </w:rPr>
      <w:t>Jacques Steenkamp · Synthetic discussion material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AI-enabled legal technology support - follow-up brief</dc:title>
  <dc:subject>Synthetic proof of concept and controlled-pilot discussion</dc:subject>
  <dc:creator>Jacques Steenkamp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