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SimSun"/>
          <w:b/>
          <w:sz w:val="32"/>
        </w:rPr>
        <w:t>基于开源 DEVSIM 的硅 PIN 二极管反向恢复可复现仿真基准研究</w:t>
      </w:r>
    </w:p>
    <w:p>
      <w:pPr>
        <w:spacing w:line="360" w:lineRule="auto"/>
      </w:pPr>
      <w:r>
        <w:rPr>
          <w:rFonts w:ascii="Times New Roman" w:hAnsi="Times New Roman" w:eastAsia="SimSun"/>
          <w:b/>
          <w:sz w:val="28"/>
        </w:rPr>
        <w:t>摘要</w:t>
      </w:r>
    </w:p>
    <w:p>
      <w:pPr>
        <w:spacing w:line="360" w:lineRule="auto"/>
        <w:ind w:firstLine="403"/>
      </w:pPr>
      <w:r>
        <w:rPr>
          <w:rFonts w:ascii="Times New Roman" w:hAnsi="Times New Roman" w:eastAsia="SimSun"/>
          <w:b w:val="0"/>
          <w:sz w:val="21"/>
        </w:rPr>
        <w:t xml:space="preserve">反向恢复是影响二极管及功率变换电路开关损耗、瞬态过冲和电磁干扰的重要过程，其数值结果对器件结构、载流子寿命、偏置历史、时间步长和后处理指标定义均较敏感。现有相关研究多依赖商业 TCAD 平台，能够支撑复杂器件建模和工程校准，但完整输入文件、网格、求解设置、原始瞬态波形及指标提取脚本通常难以同时公开，因而不利于形成可复跑、可审计的基准数据。针对这一问题，本文基于开源器件仿真框架 DEVSIM 建立了一维硅 PIN 二极管反向恢复仿真基准，给出器件结构、漂移-扩散模型、SRH 复合寿命参数、参考面积归一化、正向预偏置协议、反向阶跃瞬态设置及 </w:t>
      </w:r>
      <m:oMath xmlns:mml="http://www.w3.org/1998/Math/MathML">
        <m:sSub>
          <m:e>
            <m:r>
              <m:t>Q</m:t>
            </m:r>
          </m:e>
          <m:sub>
            <m:r>
              <m:t>rr</m:t>
            </m:r>
          </m:sub>
        </m:sSub>
      </m:oMath>
      <w:r>
        <w:rPr>
          <w:rFonts w:ascii="Times New Roman" w:hAnsi="Times New Roman" w:eastAsia="SimSun"/>
          <w:b w:val="0"/>
          <w:sz w:val="21"/>
        </w:rPr>
        <w:t>、</w:t>
      </w:r>
      <m:oMath xmlns:mml="http://www.w3.org/1998/Math/MathML">
        <m:sSub>
          <m:e>
            <m:r>
              <m:t>I</m:t>
            </m:r>
          </m:e>
          <m:sub>
            <m:r>
              <m:t>rrm</m:t>
            </m:r>
          </m:sub>
        </m:sSub>
      </m:oMath>
      <w:r>
        <w:rPr>
          <w:rFonts w:ascii="Times New Roman" w:hAnsi="Times New Roman" w:eastAsia="SimSun"/>
          <w:b w:val="0"/>
          <w:sz w:val="21"/>
        </w:rPr>
        <w:t>、</w:t>
      </w:r>
      <m:oMath xmlns:mml="http://www.w3.org/1998/Math/MathML">
        <m:sSub>
          <m:e>
            <m:r>
              <m:t>t</m:t>
            </m:r>
          </m:e>
          <m:sub>
            <m:r>
              <m:t>rr</m:t>
            </m:r>
          </m:sub>
        </m:sSub>
      </m:oMath>
      <w:r>
        <w:rPr>
          <w:rFonts w:ascii="Times New Roman" w:hAnsi="Times New Roman" w:eastAsia="SimSun"/>
          <w:b w:val="0"/>
          <w:sz w:val="21"/>
        </w:rPr>
        <w:t xml:space="preserve"> 指标提取方法。基准同时比较固定正向电压和固定正向电流两类初始化方式，并引入正向预偏置后的存储移动电荷作为物理一致性诊断。结果表明，在参考面积 </w:t>
      </w:r>
      <m:oMath xmlns:mml="http://www.w3.org/1998/Math/MathML">
        <m:r>
          <m:t>A=1.0</m:t>
        </m:r>
      </m:oMath>
      <w:r>
        <w:rPr>
          <w:rFonts w:ascii="Times New Roman" w:hAnsi="Times New Roman" w:eastAsia="SimSun"/>
          <w:b w:val="0"/>
          <w:sz w:val="21"/>
        </w:rPr>
        <w:t xml:space="preserve"> cm^2、目标正向电流密度 </w:t>
      </w:r>
      <m:oMath xmlns:mml="http://www.w3.org/1998/Math/MathML">
        <m:sSub>
          <m:e>
            <m:r>
              <m:t>J</m:t>
            </m:r>
          </m:e>
          <m:sub>
            <m:r>
              <m:t>F</m:t>
            </m:r>
          </m:sub>
        </m:sSub>
        <m:r>
          <m:t>=1.0×</m:t>
        </m:r>
        <m:sSup>
          <m:e>
            <m:r>
              <m:t>10</m:t>
            </m:r>
          </m:e>
          <m:sup>
            <m:r>
              <m:t>−3</m:t>
            </m:r>
          </m:sup>
        </m:sSup>
      </m:oMath>
      <w:r>
        <w:rPr>
          <w:rFonts w:ascii="Times New Roman" w:hAnsi="Times New Roman" w:eastAsia="SimSun"/>
          <w:b w:val="0"/>
          <w:sz w:val="21"/>
        </w:rPr>
        <w:t xml:space="preserve"> A/cm^2 下，载流子寿命由 </w:t>
      </w:r>
      <m:oMath xmlns:mml="http://www.w3.org/1998/Math/MathML">
        <m:r>
          <m:t>1.0×</m:t>
        </m:r>
        <m:sSup>
          <m:e>
            <m:r>
              <m:t>10</m:t>
            </m:r>
          </m:e>
          <m:sup>
            <m:r>
              <m:t>−8</m:t>
            </m:r>
          </m:sup>
        </m:sSup>
      </m:oMath>
      <w:r>
        <w:rPr>
          <w:rFonts w:ascii="Times New Roman" w:hAnsi="Times New Roman" w:eastAsia="SimSun"/>
          <w:b w:val="0"/>
          <w:sz w:val="21"/>
        </w:rPr>
        <w:t xml:space="preserve"> s 增至 </w:t>
      </w:r>
      <m:oMath xmlns:mml="http://www.w3.org/1998/Math/MathML">
        <m:r>
          <m:t>1.0×</m:t>
        </m:r>
        <m:sSup>
          <m:e>
            <m:r>
              <m:t>10</m:t>
            </m:r>
          </m:e>
          <m:sup>
            <m:r>
              <m:t>−5</m:t>
            </m:r>
          </m:sup>
        </m:sSup>
      </m:oMath>
      <w:r>
        <w:rPr>
          <w:rFonts w:ascii="Times New Roman" w:hAnsi="Times New Roman" w:eastAsia="SimSun"/>
          <w:b w:val="0"/>
          <w:sz w:val="21"/>
        </w:rPr>
        <w:t xml:space="preserve"> s 时，反向恢复面电荷 </w:t>
      </w:r>
      <m:oMath xmlns:mml="http://www.w3.org/1998/Math/MathML">
        <m:f>
          <m:fPr>
            <m:type m:val="lin"/>
          </m:fPr>
          <m:num>
            <m:sSub>
              <m:e>
                <m:r>
                  <m:t>Q</m:t>
                </m:r>
              </m:e>
              <m:sub>
                <m:r>
                  <m:t>rr</m:t>
                </m:r>
              </m:sub>
            </m:sSub>
          </m:num>
          <m:den>
            <m:r>
              <m:t>A</m:t>
            </m:r>
          </m:den>
        </m:f>
      </m:oMath>
      <w:r>
        <w:rPr>
          <w:rFonts w:ascii="Times New Roman" w:hAnsi="Times New Roman" w:eastAsia="SimSun"/>
          <w:b w:val="0"/>
          <w:sz w:val="21"/>
        </w:rPr>
        <w:t xml:space="preserve"> 由 </w:t>
      </w:r>
      <m:oMath xmlns:mml="http://www.w3.org/1998/Math/MathML">
        <m:r>
          <m:t>3.495×</m:t>
        </m:r>
        <m:sSup>
          <m:e>
            <m:r>
              <m:t>10</m:t>
            </m:r>
          </m:e>
          <m:sup>
            <m:r>
              <m:t>−9</m:t>
            </m:r>
          </m:sup>
        </m:sSup>
      </m:oMath>
      <w:r>
        <w:rPr>
          <w:rFonts w:ascii="Times New Roman" w:hAnsi="Times New Roman" w:eastAsia="SimSun"/>
          <w:b w:val="0"/>
          <w:sz w:val="21"/>
        </w:rPr>
        <w:t xml:space="preserve"> C/cm^2 增至 </w:t>
      </w:r>
      <m:oMath xmlns:mml="http://www.w3.org/1998/Math/MathML">
        <m:r>
          <m:t>4.297×</m:t>
        </m:r>
        <m:sSup>
          <m:e>
            <m:r>
              <m:t>10</m:t>
            </m:r>
          </m:e>
          <m:sup>
            <m:r>
              <m:t>−9</m:t>
            </m:r>
          </m:sup>
        </m:sSup>
      </m:oMath>
      <w:r>
        <w:rPr>
          <w:rFonts w:ascii="Times New Roman" w:hAnsi="Times New Roman" w:eastAsia="SimSun"/>
          <w:b w:val="0"/>
          <w:sz w:val="21"/>
        </w:rPr>
        <w:t xml:space="preserve"> C/cm^2，存储移动面电荷由 </w:t>
      </w:r>
      <m:oMath xmlns:mml="http://www.w3.org/1998/Math/MathML">
        <m:r>
          <m:t>3.478×</m:t>
        </m:r>
        <m:sSup>
          <m:e>
            <m:r>
              <m:t>10</m:t>
            </m:r>
          </m:e>
          <m:sup>
            <m:r>
              <m:t>−9</m:t>
            </m:r>
          </m:sup>
        </m:sSup>
      </m:oMath>
      <w:r>
        <w:rPr>
          <w:rFonts w:ascii="Times New Roman" w:hAnsi="Times New Roman" w:eastAsia="SimSun"/>
          <w:b w:val="0"/>
          <w:sz w:val="21"/>
        </w:rPr>
        <w:t xml:space="preserve"> C/cm^2 增至 </w:t>
      </w:r>
      <m:oMath xmlns:mml="http://www.w3.org/1998/Math/MathML">
        <m:r>
          <m:t>6.687×</m:t>
        </m:r>
        <m:sSup>
          <m:e>
            <m:r>
              <m:t>10</m:t>
            </m:r>
          </m:e>
          <m:sup>
            <m:r>
              <m:t>−9</m:t>
            </m:r>
          </m:sup>
        </m:sSup>
      </m:oMath>
      <w:r>
        <w:rPr>
          <w:rFonts w:ascii="Times New Roman" w:hAnsi="Times New Roman" w:eastAsia="SimSun"/>
          <w:b w:val="0"/>
          <w:sz w:val="21"/>
        </w:rPr>
        <w:t xml:space="preserve"> C/cm^2，二者趋势一致且处于同一数量级。进一步的正向电流密度扫描显示，当 </w:t>
      </w:r>
      <m:oMath xmlns:mml="http://www.w3.org/1998/Math/MathML">
        <m:sSub>
          <m:e>
            <m:r>
              <m:t>J</m:t>
            </m:r>
          </m:e>
          <m:sub>
            <m:r>
              <m:t>F</m:t>
            </m:r>
          </m:sub>
        </m:sSub>
      </m:oMath>
      <w:r>
        <w:rPr>
          <w:rFonts w:ascii="Times New Roman" w:hAnsi="Times New Roman" w:eastAsia="SimSun"/>
          <w:b w:val="0"/>
          <w:sz w:val="21"/>
        </w:rPr>
        <w:t xml:space="preserve"> 从 </w:t>
      </w:r>
      <m:oMath xmlns:mml="http://www.w3.org/1998/Math/MathML">
        <m:r>
          <m:t>1.0×</m:t>
        </m:r>
        <m:sSup>
          <m:e>
            <m:r>
              <m:t>10</m:t>
            </m:r>
          </m:e>
          <m:sup>
            <m:r>
              <m:t>−4</m:t>
            </m:r>
          </m:sup>
        </m:sSup>
      </m:oMath>
      <w:r>
        <w:rPr>
          <w:rFonts w:ascii="Times New Roman" w:hAnsi="Times New Roman" w:eastAsia="SimSun"/>
          <w:b w:val="0"/>
          <w:sz w:val="21"/>
        </w:rPr>
        <w:t xml:space="preserve"> A/cm^2 增至 </w:t>
      </w:r>
      <m:oMath xmlns:mml="http://www.w3.org/1998/Math/MathML">
        <m:r>
          <m:t>1.0×</m:t>
        </m:r>
        <m:sSup>
          <m:e>
            <m:r>
              <m:t>10</m:t>
            </m:r>
          </m:e>
          <m:sup>
            <m:r>
              <m:t>−2</m:t>
            </m:r>
          </m:sup>
        </m:sSup>
      </m:oMath>
      <w:r>
        <w:rPr>
          <w:rFonts w:ascii="Times New Roman" w:hAnsi="Times New Roman" w:eastAsia="SimSun"/>
          <w:b w:val="0"/>
          <w:sz w:val="21"/>
        </w:rPr>
        <w:t xml:space="preserve"> A/cm^2 时，</w:t>
      </w:r>
      <m:oMath xmlns:mml="http://www.w3.org/1998/Math/MathML">
        <m:f>
          <m:fPr>
            <m:type m:val="lin"/>
          </m:fPr>
          <m:num>
            <m:sSub>
              <m:e>
                <m:r>
                  <m:t>Q</m:t>
                </m:r>
              </m:e>
              <m:sub>
                <m:r>
                  <m:t>rr</m:t>
                </m:r>
              </m:sub>
            </m:sSub>
          </m:num>
          <m:den>
            <m:r>
              <m:t>A</m:t>
            </m:r>
          </m:den>
        </m:f>
      </m:oMath>
      <w:r>
        <w:rPr>
          <w:rFonts w:ascii="Times New Roman" w:hAnsi="Times New Roman" w:eastAsia="SimSun"/>
          <w:b w:val="0"/>
          <w:sz w:val="21"/>
        </w:rPr>
        <w:t xml:space="preserve"> 从 </w:t>
      </w:r>
      <m:oMath xmlns:mml="http://www.w3.org/1998/Math/MathML">
        <m:r>
          <m:t>3.772×</m:t>
        </m:r>
        <m:sSup>
          <m:e>
            <m:r>
              <m:t>10</m:t>
            </m:r>
          </m:e>
          <m:sup>
            <m:r>
              <m:t>−9</m:t>
            </m:r>
          </m:sup>
        </m:sSup>
      </m:oMath>
      <w:r>
        <w:rPr>
          <w:rFonts w:ascii="Times New Roman" w:hAnsi="Times New Roman" w:eastAsia="SimSun"/>
          <w:b w:val="0"/>
          <w:sz w:val="21"/>
        </w:rPr>
        <w:t xml:space="preserve"> C/cm^2 增至 </w:t>
      </w:r>
      <m:oMath xmlns:mml="http://www.w3.org/1998/Math/MathML">
        <m:r>
          <m:t>5.365×</m:t>
        </m:r>
        <m:sSup>
          <m:e>
            <m:r>
              <m:t>10</m:t>
            </m:r>
          </m:e>
          <m:sup>
            <m:r>
              <m:t>−9</m:t>
            </m:r>
          </m:sup>
        </m:sSup>
      </m:oMath>
      <w:r>
        <w:rPr>
          <w:rFonts w:ascii="Times New Roman" w:hAnsi="Times New Roman" w:eastAsia="SimSun"/>
          <w:b w:val="0"/>
          <w:sz w:val="21"/>
        </w:rPr>
        <w:t xml:space="preserve"> C/cm^2。时间步长扫描表明，</w:t>
      </w:r>
      <m:oMath xmlns:mml="http://www.w3.org/1998/Math/MathML">
        <m:f>
          <m:fPr>
            <m:type m:val="lin"/>
          </m:fPr>
          <m:num>
            <m:sSub>
              <m:e>
                <m:r>
                  <m:t>Q</m:t>
                </m:r>
              </m:e>
              <m:sub>
                <m:r>
                  <m:t>rr</m:t>
                </m:r>
              </m:sub>
            </m:sSub>
          </m:num>
          <m:den>
            <m:r>
              <m:t>A</m:t>
            </m:r>
          </m:den>
        </m:f>
      </m:oMath>
      <w:r>
        <w:rPr>
          <w:rFonts w:ascii="Times New Roman" w:hAnsi="Times New Roman" w:eastAsia="SimSun"/>
          <w:b w:val="0"/>
          <w:sz w:val="21"/>
        </w:rPr>
        <w:t xml:space="preserve"> 对 </w:t>
      </w:r>
      <m:oMath xmlns:mml="http://www.w3.org/1998/Math/MathML">
        <m:r>
          <m:t>1.0×</m:t>
        </m:r>
        <m:sSup>
          <m:e>
            <m:r>
              <m:t>10</m:t>
            </m:r>
          </m:e>
          <m:sup>
            <m:r>
              <m:t>−9</m:t>
            </m:r>
          </m:sup>
        </m:sSup>
      </m:oMath>
      <w:r>
        <w:rPr>
          <w:rFonts w:ascii="Times New Roman" w:hAnsi="Times New Roman" w:eastAsia="SimSun"/>
          <w:b w:val="0"/>
          <w:sz w:val="21"/>
        </w:rPr>
        <w:t xml:space="preserve"> s 至 </w:t>
      </w:r>
      <m:oMath xmlns:mml="http://www.w3.org/1998/Math/MathML">
        <m:r>
          <m:t>5.0×</m:t>
        </m:r>
        <m:sSup>
          <m:e>
            <m:r>
              <m:t>10</m:t>
            </m:r>
          </m:e>
          <m:sup>
            <m:r>
              <m:t>−9</m:t>
            </m:r>
          </m:sup>
        </m:sSup>
      </m:oMath>
      <w:r>
        <w:rPr>
          <w:rFonts w:ascii="Times New Roman" w:hAnsi="Times New Roman" w:eastAsia="SimSun"/>
          <w:b w:val="0"/>
          <w:sz w:val="21"/>
        </w:rPr>
        <w:t xml:space="preserve"> s 的时间步长变化保持稳定，而 </w:t>
      </w:r>
      <m:oMath xmlns:mml="http://www.w3.org/1998/Math/MathML">
        <m:f>
          <m:fPr>
            <m:type m:val="lin"/>
          </m:fPr>
          <m:num>
            <m:sSub>
              <m:e>
                <m:r>
                  <m:t>I</m:t>
                </m:r>
              </m:e>
              <m:sub>
                <m:r>
                  <m:t>rrm</m:t>
                </m:r>
              </m:sub>
            </m:sSub>
          </m:num>
          <m:den>
            <m:r>
              <m:t>A</m:t>
            </m:r>
          </m:den>
        </m:f>
      </m:oMath>
      <w:r>
        <w:rPr>
          <w:rFonts w:ascii="Times New Roman" w:hAnsi="Times New Roman" w:eastAsia="SimSun"/>
          <w:b w:val="0"/>
          <w:sz w:val="21"/>
        </w:rPr>
        <w:t xml:space="preserve"> 对理想电压阶跃下的瞬态离散分辨率高度敏感。本文结果说明，开放仿真代码、原始波形和指标提取流程有助于明确反向恢复仿真的可复现边界；在本文基准条件下，积分电荷较峰值电流更适合作为主要参考指标。</w:t>
      </w:r>
    </w:p>
    <w:p>
      <w:pPr>
        <w:spacing w:line="360" w:lineRule="auto"/>
        <w:ind w:firstLine="403"/>
      </w:pPr>
      <w:r>
        <w:rPr>
          <w:rFonts w:ascii="Times New Roman" w:hAnsi="Times New Roman" w:eastAsia="SimSun"/>
          <w:b w:val="0"/>
          <w:sz w:val="21"/>
        </w:rPr>
        <w:t>关键词：DEVSIM；开源 TCAD；反向恢复；PIN 二极管；漂移-扩散；可复现基准</w:t>
      </w:r>
    </w:p>
    <w:p>
      <w:pPr>
        <w:spacing w:line="360" w:lineRule="auto"/>
      </w:pPr>
      <w:r>
        <w:rPr>
          <w:rFonts w:ascii="Times New Roman" w:hAnsi="Times New Roman" w:eastAsia="SimSun"/>
          <w:b/>
          <w:sz w:val="28"/>
        </w:rPr>
        <w:t>Abstract</w:t>
      </w:r>
    </w:p>
    <w:p>
      <w:pPr>
        <w:spacing w:line="360" w:lineRule="auto"/>
        <w:ind w:firstLine="403"/>
      </w:pPr>
      <w:r>
        <w:rPr>
          <w:rFonts w:ascii="Times New Roman" w:hAnsi="Times New Roman" w:eastAsia="SimSun"/>
          <w:b w:val="0"/>
          <w:sz w:val="21"/>
        </w:rPr>
        <w:t xml:space="preserve">Reverse recovery is a key transient process affecting switching loss, voltage overshoot, and electromagnetic interference in diode and power-conversion circuits. Its numerical prediction is sensitive to device structure, carrier lifetime, bias history, time-step resolution, and post-processing definitions. Most high-fidelity studies rely on commercial TCAD tools, which provide advanced physical models and industrial calibration capability, but the complete input decks, meshes, solver settings, raw transient waveforms, and metric-extraction scripts are seldom released together. This work develops a reproducible reverse-recovery benchmark for a one-dimensional silicon PIN diode using the open-source DEVSIM device simulator. The benchmark specifies the device geometry, drift-diffusion model, SRH lifetime parameters, reference-area normalization, forward-bias initialization protocols, reverse-step transient setup, and the extraction rules for </w:t>
      </w:r>
      <m:oMath xmlns:mml="http://www.w3.org/1998/Math/MathML">
        <m:sSub>
          <m:e>
            <m:r>
              <m:t>Q</m:t>
            </m:r>
          </m:e>
          <m:sub>
            <m:r>
              <m:t>rr</m:t>
            </m:r>
          </m:sub>
        </m:sSub>
      </m:oMath>
      <w:r>
        <w:rPr>
          <w:rFonts w:ascii="Times New Roman" w:hAnsi="Times New Roman" w:eastAsia="SimSun"/>
          <w:b w:val="0"/>
          <w:sz w:val="21"/>
        </w:rPr>
        <w:t xml:space="preserve">, </w:t>
      </w:r>
      <m:oMath xmlns:mml="http://www.w3.org/1998/Math/MathML">
        <m:sSub>
          <m:e>
            <m:r>
              <m:t>I</m:t>
            </m:r>
          </m:e>
          <m:sub>
            <m:r>
              <m:t>rrm</m:t>
            </m:r>
          </m:sub>
        </m:sSub>
      </m:oMath>
      <w:r>
        <w:rPr>
          <w:rFonts w:ascii="Times New Roman" w:hAnsi="Times New Roman" w:eastAsia="SimSun"/>
          <w:b w:val="0"/>
          <w:sz w:val="21"/>
        </w:rPr>
        <w:t xml:space="preserve">, and </w:t>
      </w:r>
      <m:oMath xmlns:mml="http://www.w3.org/1998/Math/MathML">
        <m:sSub>
          <m:e>
            <m:r>
              <m:t>t</m:t>
            </m:r>
          </m:e>
          <m:sub>
            <m:r>
              <m:t>rr</m:t>
            </m:r>
          </m:sub>
        </m:sSub>
      </m:oMath>
      <w:r>
        <w:rPr>
          <w:rFonts w:ascii="Times New Roman" w:hAnsi="Times New Roman" w:eastAsia="SimSun"/>
          <w:b w:val="0"/>
          <w:sz w:val="21"/>
        </w:rPr>
        <w:t xml:space="preserve">. Fixed-voltage and fixed-current initialization protocols are compared, and the stored mobile charge before reverse switching is used as a physical consistency diagnostic. With a reference area of </w:t>
      </w:r>
      <m:oMath xmlns:mml="http://www.w3.org/1998/Math/MathML">
        <m:r>
          <m:t>A=1.0</m:t>
        </m:r>
      </m:oMath>
      <w:r>
        <w:rPr>
          <w:rFonts w:ascii="Times New Roman" w:hAnsi="Times New Roman" w:eastAsia="SimSun"/>
          <w:b w:val="0"/>
          <w:sz w:val="21"/>
        </w:rPr>
        <w:t xml:space="preserve"> cm^2 and a target forward current density of </w:t>
      </w:r>
      <m:oMath xmlns:mml="http://www.w3.org/1998/Math/MathML">
        <m:sSub>
          <m:e>
            <m:r>
              <m:t>J</m:t>
            </m:r>
          </m:e>
          <m:sub>
            <m:r>
              <m:t>F</m:t>
            </m:r>
          </m:sub>
        </m:sSub>
        <m:r>
          <m:t>=1.0×</m:t>
        </m:r>
        <m:sSup>
          <m:e>
            <m:r>
              <m:t>10</m:t>
            </m:r>
          </m:e>
          <m:sup>
            <m:r>
              <m:t>−3</m:t>
            </m:r>
          </m:sup>
        </m:sSup>
      </m:oMath>
      <w:r>
        <w:rPr>
          <w:rFonts w:ascii="Times New Roman" w:hAnsi="Times New Roman" w:eastAsia="SimSun"/>
          <w:b w:val="0"/>
          <w:sz w:val="21"/>
        </w:rPr>
        <w:t xml:space="preserve"> A/cm^2, increasing the carrier lifetime from </w:t>
      </w:r>
      <m:oMath xmlns:mml="http://www.w3.org/1998/Math/MathML">
        <m:r>
          <m:t>1.0×</m:t>
        </m:r>
        <m:sSup>
          <m:e>
            <m:r>
              <m:t>10</m:t>
            </m:r>
          </m:e>
          <m:sup>
            <m:r>
              <m:t>−8</m:t>
            </m:r>
          </m:sup>
        </m:sSup>
      </m:oMath>
      <w:r>
        <w:rPr>
          <w:rFonts w:ascii="Times New Roman" w:hAnsi="Times New Roman" w:eastAsia="SimSun"/>
          <w:b w:val="0"/>
          <w:sz w:val="21"/>
        </w:rPr>
        <w:t xml:space="preserve"> s to </w:t>
      </w:r>
      <m:oMath xmlns:mml="http://www.w3.org/1998/Math/MathML">
        <m:r>
          <m:t>1.0×</m:t>
        </m:r>
        <m:sSup>
          <m:e>
            <m:r>
              <m:t>10</m:t>
            </m:r>
          </m:e>
          <m:sup>
            <m:r>
              <m:t>−5</m:t>
            </m:r>
          </m:sup>
        </m:sSup>
      </m:oMath>
      <w:r>
        <w:rPr>
          <w:rFonts w:ascii="Times New Roman" w:hAnsi="Times New Roman" w:eastAsia="SimSun"/>
          <w:b w:val="0"/>
          <w:sz w:val="21"/>
        </w:rPr>
        <w:t xml:space="preserve"> s raises </w:t>
      </w:r>
      <m:oMath xmlns:mml="http://www.w3.org/1998/Math/MathML">
        <m:f>
          <m:fPr>
            <m:type m:val="lin"/>
          </m:fPr>
          <m:num>
            <m:sSub>
              <m:e>
                <m:r>
                  <m:t>Q</m:t>
                </m:r>
              </m:e>
              <m:sub>
                <m:r>
                  <m:t>rr</m:t>
                </m:r>
              </m:sub>
            </m:sSub>
          </m:num>
          <m:den>
            <m:r>
              <m:t>A</m:t>
            </m:r>
          </m:den>
        </m:f>
      </m:oMath>
      <w:r>
        <w:rPr>
          <w:rFonts w:ascii="Times New Roman" w:hAnsi="Times New Roman" w:eastAsia="SimSun"/>
          <w:b w:val="0"/>
          <w:sz w:val="21"/>
        </w:rPr>
        <w:t xml:space="preserve"> from </w:t>
      </w:r>
      <m:oMath xmlns:mml="http://www.w3.org/1998/Math/MathML">
        <m:r>
          <m:t>3.495×</m:t>
        </m:r>
        <m:sSup>
          <m:e>
            <m:r>
              <m:t>10</m:t>
            </m:r>
          </m:e>
          <m:sup>
            <m:r>
              <m:t>−9</m:t>
            </m:r>
          </m:sup>
        </m:sSup>
      </m:oMath>
      <w:r>
        <w:rPr>
          <w:rFonts w:ascii="Times New Roman" w:hAnsi="Times New Roman" w:eastAsia="SimSun"/>
          <w:b w:val="0"/>
          <w:sz w:val="21"/>
        </w:rPr>
        <w:t xml:space="preserve"> C/cm^2 to </w:t>
      </w:r>
      <m:oMath xmlns:mml="http://www.w3.org/1998/Math/MathML">
        <m:r>
          <m:t>4.297×</m:t>
        </m:r>
        <m:sSup>
          <m:e>
            <m:r>
              <m:t>10</m:t>
            </m:r>
          </m:e>
          <m:sup>
            <m:r>
              <m:t>−9</m:t>
            </m:r>
          </m:sup>
        </m:sSup>
      </m:oMath>
      <w:r>
        <w:rPr>
          <w:rFonts w:ascii="Times New Roman" w:hAnsi="Times New Roman" w:eastAsia="SimSun"/>
          <w:b w:val="0"/>
          <w:sz w:val="21"/>
        </w:rPr>
        <w:t xml:space="preserve"> C/cm^2, while the stored mobile charge density increases from </w:t>
      </w:r>
      <m:oMath xmlns:mml="http://www.w3.org/1998/Math/MathML">
        <m:r>
          <m:t>3.478×</m:t>
        </m:r>
        <m:sSup>
          <m:e>
            <m:r>
              <m:t>10</m:t>
            </m:r>
          </m:e>
          <m:sup>
            <m:r>
              <m:t>−9</m:t>
            </m:r>
          </m:sup>
        </m:sSup>
      </m:oMath>
      <w:r>
        <w:rPr>
          <w:rFonts w:ascii="Times New Roman" w:hAnsi="Times New Roman" w:eastAsia="SimSun"/>
          <w:b w:val="0"/>
          <w:sz w:val="21"/>
        </w:rPr>
        <w:t xml:space="preserve"> C/cm^2 to </w:t>
      </w:r>
      <m:oMath xmlns:mml="http://www.w3.org/1998/Math/MathML">
        <m:r>
          <m:t>6.687×</m:t>
        </m:r>
        <m:sSup>
          <m:e>
            <m:r>
              <m:t>10</m:t>
            </m:r>
          </m:e>
          <m:sup>
            <m:r>
              <m:t>−9</m:t>
            </m:r>
          </m:sup>
        </m:sSup>
      </m:oMath>
      <w:r>
        <w:rPr>
          <w:rFonts w:ascii="Times New Roman" w:hAnsi="Times New Roman" w:eastAsia="SimSun"/>
          <w:b w:val="0"/>
          <w:sz w:val="21"/>
        </w:rPr>
        <w:t xml:space="preserve"> C/cm^2. A forward-current-density sweep further shows that </w:t>
      </w:r>
      <m:oMath xmlns:mml="http://www.w3.org/1998/Math/MathML">
        <m:f>
          <m:fPr>
            <m:type m:val="lin"/>
          </m:fPr>
          <m:num>
            <m:sSub>
              <m:e>
                <m:r>
                  <m:t>Q</m:t>
                </m:r>
              </m:e>
              <m:sub>
                <m:r>
                  <m:t>rr</m:t>
                </m:r>
              </m:sub>
            </m:sSub>
          </m:num>
          <m:den>
            <m:r>
              <m:t>A</m:t>
            </m:r>
          </m:den>
        </m:f>
      </m:oMath>
      <w:r>
        <w:rPr>
          <w:rFonts w:ascii="Times New Roman" w:hAnsi="Times New Roman" w:eastAsia="SimSun"/>
          <w:b w:val="0"/>
          <w:sz w:val="21"/>
        </w:rPr>
        <w:t xml:space="preserve"> increases from </w:t>
      </w:r>
      <m:oMath xmlns:mml="http://www.w3.org/1998/Math/MathML">
        <m:r>
          <m:t>3.772×</m:t>
        </m:r>
        <m:sSup>
          <m:e>
            <m:r>
              <m:t>10</m:t>
            </m:r>
          </m:e>
          <m:sup>
            <m:r>
              <m:t>−9</m:t>
            </m:r>
          </m:sup>
        </m:sSup>
      </m:oMath>
      <w:r>
        <w:rPr>
          <w:rFonts w:ascii="Times New Roman" w:hAnsi="Times New Roman" w:eastAsia="SimSun"/>
          <w:b w:val="0"/>
          <w:sz w:val="21"/>
        </w:rPr>
        <w:t xml:space="preserve"> C/cm^2 to </w:t>
      </w:r>
      <m:oMath xmlns:mml="http://www.w3.org/1998/Math/MathML">
        <m:r>
          <m:t>5.365×</m:t>
        </m:r>
        <m:sSup>
          <m:e>
            <m:r>
              <m:t>10</m:t>
            </m:r>
          </m:e>
          <m:sup>
            <m:r>
              <m:t>−9</m:t>
            </m:r>
          </m:sup>
        </m:sSup>
      </m:oMath>
      <w:r>
        <w:rPr>
          <w:rFonts w:ascii="Times New Roman" w:hAnsi="Times New Roman" w:eastAsia="SimSun"/>
          <w:b w:val="0"/>
          <w:sz w:val="21"/>
        </w:rPr>
        <w:t xml:space="preserve"> C/cm^2 as </w:t>
      </w:r>
      <m:oMath xmlns:mml="http://www.w3.org/1998/Math/MathML">
        <m:sSub>
          <m:e>
            <m:r>
              <m:t>J</m:t>
            </m:r>
          </m:e>
          <m:sub>
            <m:r>
              <m:t>F</m:t>
            </m:r>
          </m:sub>
        </m:sSub>
      </m:oMath>
      <w:r>
        <w:rPr>
          <w:rFonts w:ascii="Times New Roman" w:hAnsi="Times New Roman" w:eastAsia="SimSun"/>
          <w:b w:val="0"/>
          <w:sz w:val="21"/>
        </w:rPr>
        <w:t xml:space="preserve"> increases from </w:t>
      </w:r>
      <m:oMath xmlns:mml="http://www.w3.org/1998/Math/MathML">
        <m:r>
          <m:t>1.0×</m:t>
        </m:r>
        <m:sSup>
          <m:e>
            <m:r>
              <m:t>10</m:t>
            </m:r>
          </m:e>
          <m:sup>
            <m:r>
              <m:t>−4</m:t>
            </m:r>
          </m:sup>
        </m:sSup>
      </m:oMath>
      <w:r>
        <w:rPr>
          <w:rFonts w:ascii="Times New Roman" w:hAnsi="Times New Roman" w:eastAsia="SimSun"/>
          <w:b w:val="0"/>
          <w:sz w:val="21"/>
        </w:rPr>
        <w:t xml:space="preserve"> A/cm^2 to </w:t>
      </w:r>
      <m:oMath xmlns:mml="http://www.w3.org/1998/Math/MathML">
        <m:r>
          <m:t>1.0×</m:t>
        </m:r>
        <m:sSup>
          <m:e>
            <m:r>
              <m:t>10</m:t>
            </m:r>
          </m:e>
          <m:sup>
            <m:r>
              <m:t>−2</m:t>
            </m:r>
          </m:sup>
        </m:sSup>
      </m:oMath>
      <w:r>
        <w:rPr>
          <w:rFonts w:ascii="Times New Roman" w:hAnsi="Times New Roman" w:eastAsia="SimSun"/>
          <w:b w:val="0"/>
          <w:sz w:val="21"/>
        </w:rPr>
        <w:t xml:space="preserve"> A/cm^2. Time-step studies show that </w:t>
      </w:r>
      <m:oMath xmlns:mml="http://www.w3.org/1998/Math/MathML">
        <m:f>
          <m:fPr>
            <m:type m:val="lin"/>
          </m:fPr>
          <m:num>
            <m:sSub>
              <m:e>
                <m:r>
                  <m:t>Q</m:t>
                </m:r>
              </m:e>
              <m:sub>
                <m:r>
                  <m:t>rr</m:t>
                </m:r>
              </m:sub>
            </m:sSub>
          </m:num>
          <m:den>
            <m:r>
              <m:t>A</m:t>
            </m:r>
          </m:den>
        </m:f>
      </m:oMath>
      <w:r>
        <w:rPr>
          <w:rFonts w:ascii="Times New Roman" w:hAnsi="Times New Roman" w:eastAsia="SimSun"/>
          <w:b w:val="0"/>
          <w:sz w:val="21"/>
        </w:rPr>
        <w:t xml:space="preserve"> is stable for time steps from </w:t>
      </w:r>
      <m:oMath xmlns:mml="http://www.w3.org/1998/Math/MathML">
        <m:r>
          <m:t>1.0×</m:t>
        </m:r>
        <m:sSup>
          <m:e>
            <m:r>
              <m:t>10</m:t>
            </m:r>
          </m:e>
          <m:sup>
            <m:r>
              <m:t>−9</m:t>
            </m:r>
          </m:sup>
        </m:sSup>
      </m:oMath>
      <w:r>
        <w:rPr>
          <w:rFonts w:ascii="Times New Roman" w:hAnsi="Times New Roman" w:eastAsia="SimSun"/>
          <w:b w:val="0"/>
          <w:sz w:val="21"/>
        </w:rPr>
        <w:t xml:space="preserve"> s to </w:t>
      </w:r>
      <m:oMath xmlns:mml="http://www.w3.org/1998/Math/MathML">
        <m:r>
          <m:t>5.0×</m:t>
        </m:r>
        <m:sSup>
          <m:e>
            <m:r>
              <m:t>10</m:t>
            </m:r>
          </m:e>
          <m:sup>
            <m:r>
              <m:t>−9</m:t>
            </m:r>
          </m:sup>
        </m:sSup>
      </m:oMath>
      <w:r>
        <w:rPr>
          <w:rFonts w:ascii="Times New Roman" w:hAnsi="Times New Roman" w:eastAsia="SimSun"/>
          <w:b w:val="0"/>
          <w:sz w:val="21"/>
        </w:rPr>
        <w:t xml:space="preserve"> s, whereas </w:t>
      </w:r>
      <m:oMath xmlns:mml="http://www.w3.org/1998/Math/MathML">
        <m:f>
          <m:fPr>
            <m:type m:val="lin"/>
          </m:fPr>
          <m:num>
            <m:sSub>
              <m:e>
                <m:r>
                  <m:t>I</m:t>
                </m:r>
              </m:e>
              <m:sub>
                <m:r>
                  <m:t>rrm</m:t>
                </m:r>
              </m:sub>
            </m:sSub>
          </m:num>
          <m:den>
            <m:r>
              <m:t>A</m:t>
            </m:r>
          </m:den>
        </m:f>
      </m:oMath>
      <w:r>
        <w:rPr>
          <w:rFonts w:ascii="Times New Roman" w:hAnsi="Times New Roman" w:eastAsia="SimSun"/>
          <w:b w:val="0"/>
          <w:sz w:val="21"/>
        </w:rPr>
        <w:t xml:space="preserve"> is strongly affected by the temporal resolution of the ideal voltage step. These results demonstrate that open code, raw waveforms, and transparent metric extraction are useful for clarifying the reproducibility boundary of reverse-recovery simulation, and that the integrated recovery charge is a more robust reference metric than the peak current under the present benchmark conditions.</w:t>
      </w:r>
    </w:p>
    <w:p>
      <w:pPr>
        <w:spacing w:line="360" w:lineRule="auto"/>
        <w:ind w:firstLine="403"/>
      </w:pPr>
      <w:r>
        <w:rPr>
          <w:rFonts w:ascii="Times New Roman" w:hAnsi="Times New Roman" w:eastAsia="SimSun"/>
          <w:b w:val="0"/>
          <w:sz w:val="21"/>
        </w:rPr>
        <w:t>Key words: DEVSIM; open-source TCAD; reverse recovery; PIN diode; drift-diffusion; reproducible benchmark</w:t>
      </w:r>
    </w:p>
    <w:p>
      <w:pPr>
        <w:spacing w:line="360" w:lineRule="auto"/>
      </w:pPr>
      <w:r>
        <w:rPr>
          <w:rFonts w:ascii="Times New Roman" w:hAnsi="Times New Roman" w:eastAsia="SimSun"/>
          <w:b/>
          <w:sz w:val="28"/>
        </w:rPr>
        <w:t>1 引言</w:t>
      </w:r>
    </w:p>
    <w:p>
      <w:pPr>
        <w:spacing w:line="360" w:lineRule="auto"/>
        <w:ind w:firstLine="403"/>
      </w:pPr>
      <w:r>
        <w:rPr>
          <w:rFonts w:ascii="Times New Roman" w:hAnsi="Times New Roman" w:eastAsia="SimSun"/>
          <w:b w:val="0"/>
          <w:sz w:val="21"/>
        </w:rPr>
        <w:t xml:space="preserve">二极管由正向导通切换至反向阻断时，结区和漂移区内的非平衡载流子需要经过抽取与复合过程才能恢复阻断能力。这一反向恢复过程通常表现为短时反向电流脉冲，并通过最大反向恢复电流 </w:t>
      </w:r>
      <m:oMath xmlns:mml="http://www.w3.org/1998/Math/MathML">
        <m:sSub>
          <m:e>
            <m:r>
              <m:t>I</m:t>
            </m:r>
          </m:e>
          <m:sub>
            <m:r>
              <m:t>rrm</m:t>
            </m:r>
          </m:sub>
        </m:sSub>
      </m:oMath>
      <w:r>
        <w:rPr>
          <w:rFonts w:ascii="Times New Roman" w:hAnsi="Times New Roman" w:eastAsia="SimSun"/>
          <w:b w:val="0"/>
          <w:sz w:val="21"/>
        </w:rPr>
        <w:t xml:space="preserve">、反向恢复时间 </w:t>
      </w:r>
      <m:oMath xmlns:mml="http://www.w3.org/1998/Math/MathML">
        <m:sSub>
          <m:e>
            <m:r>
              <m:t>t</m:t>
            </m:r>
          </m:e>
          <m:sub>
            <m:r>
              <m:t>rr</m:t>
            </m:r>
          </m:sub>
        </m:sSub>
      </m:oMath>
      <w:r>
        <w:rPr>
          <w:rFonts w:ascii="Times New Roman" w:hAnsi="Times New Roman" w:eastAsia="SimSun"/>
          <w:b w:val="0"/>
          <w:sz w:val="21"/>
        </w:rPr>
        <w:t xml:space="preserve"> 和反向恢复电荷 </w:t>
      </w:r>
      <m:oMath xmlns:mml="http://www.w3.org/1998/Math/MathML">
        <m:sSub>
          <m:e>
            <m:r>
              <m:t>Q</m:t>
            </m:r>
          </m:e>
          <m:sub>
            <m:r>
              <m:t>rr</m:t>
            </m:r>
          </m:sub>
        </m:sSub>
      </m:oMath>
      <w:r>
        <w:rPr>
          <w:rFonts w:ascii="Times New Roman" w:hAnsi="Times New Roman" w:eastAsia="SimSun"/>
          <w:b w:val="0"/>
          <w:sz w:val="21"/>
        </w:rPr>
        <w:t xml:space="preserve"> 等指标表征。对于功率二极管、MOSFET 体二极管和含二极管续流通道的功率变换器，反向恢复会影响开关损耗、器件热应力、电压过冲和电磁兼容设计。因此，建立清晰、可比较的反向恢复仿真流程具有实际意义。</w:t>
      </w:r>
    </w:p>
    <w:p>
      <w:pPr>
        <w:spacing w:line="360" w:lineRule="auto"/>
        <w:ind w:firstLine="403"/>
      </w:pPr>
      <w:r>
        <w:rPr>
          <w:rFonts w:ascii="Times New Roman" w:hAnsi="Times New Roman" w:eastAsia="SimSun"/>
          <w:b w:val="0"/>
          <w:sz w:val="21"/>
        </w:rPr>
        <w:t>从物理机制看，反向恢复与正向导通阶段的少数载流子注入、漂移区电荷存储、载流子寿命和反向边界条件密切相关。经典半导体器件理论和 TCAD 方法已经为该问题提供了成熟基础，包括漂移-扩散方程、Poisson 方程、Scharfetter-Gummel 离散格式和 Shockley-Read-Hall 复合模型等[1-5]。在工程研究中，商业 TCAD 平台能够处理二维或三维结构、复杂掺杂、温度效应、陷阱模型以及外部电路耦合，是研究真实功率器件反向恢复和缺陷寿命效应的重要工具[11-12]。</w:t>
      </w:r>
    </w:p>
    <w:p>
      <w:pPr>
        <w:spacing w:line="360" w:lineRule="auto"/>
        <w:ind w:firstLine="403"/>
      </w:pPr>
      <w:r>
        <w:rPr>
          <w:rFonts w:ascii="Times New Roman" w:hAnsi="Times New Roman" w:eastAsia="SimSun"/>
          <w:b w:val="0"/>
          <w:sz w:val="21"/>
        </w:rPr>
        <w:t>然而，反向恢复仿真具有较强的流程敏感性。同一器件结构在固定正向电压和固定正向电流两种预偏置条件下，初始存储电荷可能明显不同；同一反向阶跃过程在不同时间步长下，峰值电流也可能发生较大变化。若论文仅给出最终恢复电荷或恢复时间，而缺少完整的输入 deck、网格、求解容差、原始波形和指标提取代码，则其他研究者难以判断差异来自物理模型、数值离散还是后处理定义。商业 TCAD 研究并非缺乏可信度，但其复现通常受软件授权、模型库封闭性和输入文件公开程度限制。对于需要作为教学、算法验证或跨工具对比基础的标准问题，开放性和透明度本身就是重要研究价值。</w:t>
      </w:r>
    </w:p>
    <w:p>
      <w:pPr>
        <w:spacing w:line="360" w:lineRule="auto"/>
        <w:ind w:firstLine="403"/>
      </w:pPr>
      <w:r>
        <w:rPr>
          <w:rFonts w:ascii="Times New Roman" w:hAnsi="Times New Roman" w:eastAsia="SimSun"/>
          <w:b w:val="0"/>
          <w:sz w:val="21"/>
        </w:rPr>
        <w:t>DEVSIM 是一个开源 TCAD 器件仿真框架，采用有限体积方法，支持 Python 脚本、直流、小信号、瞬态、自定义偏微分方程以及一维、二维和三维仿真[6-7]。与商业 TCAD 相比，DEVSIM 的模型库、工艺集成和工业校准能力有限；但其源代码和脚本接口开放，适合构建小规模、低成本、可复跑的物理仿真基准。开源漂移-扩散工具在光电器件等领域已经被用于提高模型透明度和复用性[10]；更一般地，开源计算研究中，数据、代码和计算环境的公开被认为是结果可复核的重要条件[8-9]。本文并不试图证明开源框架优于商业 TCAD，也不以预测某一真实商业器件为目标，而是尝试回答一个更窄的问题：能否用完全开放的代码、参数和数据，建立一个反向恢复仿真流程基准，使研究者能够复查每一步数值结果和指标定义。</w:t>
      </w:r>
    </w:p>
    <w:p>
      <w:pPr>
        <w:spacing w:line="360" w:lineRule="auto"/>
        <w:ind w:firstLine="403"/>
      </w:pPr>
      <w:r>
        <w:rPr>
          <w:rFonts w:ascii="Times New Roman" w:hAnsi="Times New Roman" w:eastAsia="SimSun"/>
          <w:b w:val="0"/>
          <w:sz w:val="21"/>
        </w:rPr>
        <w:t xml:space="preserve">本文主要贡献如下：第一，建立基于 DEVSIM 的一维硅 PIN 二极管反向恢复开源基准，公开器件结构、网格设置、偏置历史和数据格式；第二，引入参考面积归一化，使用电流密度和面电荷密度报告主要指标，避免一维接触电流被误读为特定器件额定电流；第三，比较固定正向电压与固定目标正向电流两种初始化协议，并增加目标正向电流密度扫描，展示 benchmark 对初始导通条件的覆盖能力；第四，将终端恢复电荷 </w:t>
      </w:r>
      <m:oMath xmlns:mml="http://www.w3.org/1998/Math/MathML">
        <m:sSub>
          <m:e>
            <m:r>
              <m:t>Q</m:t>
            </m:r>
          </m:e>
          <m:sub>
            <m:r>
              <m:t>rr</m:t>
            </m:r>
          </m:sub>
        </m:sSub>
      </m:oMath>
      <w:r>
        <w:rPr>
          <w:rFonts w:ascii="Times New Roman" w:hAnsi="Times New Roman" w:eastAsia="SimSun"/>
          <w:b w:val="0"/>
          <w:sz w:val="21"/>
        </w:rPr>
        <w:t xml:space="preserve"> 与内部存储移动电荷进行对照，检查反向恢复指标的物理一致性；第五，给出时间步长和网格密度收敛结果，讨论 </w:t>
      </w:r>
      <m:oMath xmlns:mml="http://www.w3.org/1998/Math/MathML">
        <m:sSub>
          <m:e>
            <m:r>
              <m:t>Q</m:t>
            </m:r>
          </m:e>
          <m:sub>
            <m:r>
              <m:t>rr</m:t>
            </m:r>
          </m:sub>
        </m:sSub>
      </m:oMath>
      <w:r>
        <w:rPr>
          <w:rFonts w:ascii="Times New Roman" w:hAnsi="Times New Roman" w:eastAsia="SimSun"/>
          <w:b w:val="0"/>
          <w:sz w:val="21"/>
        </w:rPr>
        <w:t xml:space="preserve"> 与 </w:t>
      </w:r>
      <m:oMath xmlns:mml="http://www.w3.org/1998/Math/MathML">
        <m:sSub>
          <m:e>
            <m:r>
              <m:t>I</m:t>
            </m:r>
          </m:e>
          <m:sub>
            <m:r>
              <m:t>rrm</m:t>
            </m:r>
          </m:sub>
        </m:sSub>
      </m:oMath>
      <w:r>
        <w:rPr>
          <w:rFonts w:ascii="Times New Roman" w:hAnsi="Times New Roman" w:eastAsia="SimSun"/>
          <w:b w:val="0"/>
          <w:sz w:val="21"/>
        </w:rPr>
        <w:t xml:space="preserve"> 的数值敏感性差异。</w:t>
      </w:r>
    </w:p>
    <w:p>
      <w:pPr>
        <w:spacing w:line="360" w:lineRule="auto"/>
      </w:pPr>
      <w:r>
        <w:rPr>
          <w:rFonts w:ascii="Times New Roman" w:hAnsi="Times New Roman" w:eastAsia="SimSun"/>
          <w:b/>
          <w:sz w:val="28"/>
        </w:rPr>
        <w:t>2 基准模型与仿真方法</w:t>
      </w:r>
    </w:p>
    <w:p>
      <w:pPr>
        <w:spacing w:line="360" w:lineRule="auto"/>
      </w:pPr>
      <w:r>
        <w:rPr>
          <w:rFonts w:ascii="Times New Roman" w:hAnsi="Times New Roman" w:eastAsia="SimSun"/>
          <w:b/>
          <w:sz w:val="24"/>
        </w:rPr>
        <w:t>2.1 器件结构</w:t>
      </w:r>
    </w:p>
    <w:p>
      <w:pPr>
        <w:spacing w:line="360" w:lineRule="auto"/>
        <w:ind w:firstLine="403"/>
      </w:pPr>
      <w:r>
        <w:rPr>
          <w:rFonts w:ascii="Times New Roman" w:hAnsi="Times New Roman" w:eastAsia="SimSun"/>
          <w:b w:val="0"/>
          <w:sz w:val="21"/>
        </w:rPr>
        <w:t xml:space="preserve">本文采用一维硅 PIN 二极管作为基准器件。该结构不对应特定商品器件，而用于构造可公开、低成本且稳定收敛的标准问题。器件总长度为 </w:t>
      </w:r>
      <m:oMath xmlns:mml="http://www.w3.org/1998/Math/MathML">
        <m:r>
          <m:t>3.0×</m:t>
        </m:r>
        <m:sSup>
          <m:e>
            <m:r>
              <m:t>10</m:t>
            </m:r>
          </m:e>
          <m:sup>
            <m:r>
              <m:t>−4</m:t>
            </m:r>
          </m:sup>
        </m:sSup>
      </m:oMath>
      <w:r>
        <w:rPr>
          <w:rFonts w:ascii="Times New Roman" w:hAnsi="Times New Roman" w:eastAsia="SimSun"/>
          <w:b w:val="0"/>
          <w:sz w:val="21"/>
        </w:rPr>
        <w:t xml:space="preserve"> cm，左侧 P 区和右侧 N 区宽度均为 </w:t>
      </w:r>
      <m:oMath xmlns:mml="http://www.w3.org/1998/Math/MathML">
        <m:r>
          <m:t>5.0×</m:t>
        </m:r>
        <m:sSup>
          <m:e>
            <m:r>
              <m:t>10</m:t>
            </m:r>
          </m:e>
          <m:sup>
            <m:r>
              <m:t>−5</m:t>
            </m:r>
          </m:sup>
        </m:sSup>
      </m:oMath>
      <w:r>
        <w:rPr>
          <w:rFonts w:ascii="Times New Roman" w:hAnsi="Times New Roman" w:eastAsia="SimSun"/>
          <w:b w:val="0"/>
          <w:sz w:val="21"/>
        </w:rPr>
        <w:t xml:space="preserve"> cm，中间为低掺杂 I 区。P 区受主浓度和 N 区施主浓度均取 </w:t>
      </w:r>
      <m:oMath xmlns:mml="http://www.w3.org/1998/Math/MathML">
        <m:r>
          <m:t>1.0×</m:t>
        </m:r>
        <m:sSup>
          <m:e>
            <m:r>
              <m:t>10</m:t>
            </m:r>
          </m:e>
          <m:sup>
            <m:r>
              <m:t>17</m:t>
            </m:r>
          </m:sup>
        </m:sSup>
      </m:oMath>
      <w:r>
        <w:rPr>
          <w:rFonts w:ascii="Times New Roman" w:hAnsi="Times New Roman" w:eastAsia="SimSun"/>
          <w:b w:val="0"/>
          <w:sz w:val="21"/>
        </w:rPr>
        <w:t xml:space="preserve"> cm^{-3}，I 区背景施主浓度取 </w:t>
      </w:r>
      <m:oMath xmlns:mml="http://www.w3.org/1998/Math/MathML">
        <m:r>
          <m:t>1.0×</m:t>
        </m:r>
        <m:sSup>
          <m:e>
            <m:r>
              <m:t>10</m:t>
            </m:r>
          </m:e>
          <m:sup>
            <m:r>
              <m:t>12</m:t>
            </m:r>
          </m:sup>
        </m:sSup>
      </m:oMath>
      <w:r>
        <w:rPr>
          <w:rFonts w:ascii="Times New Roman" w:hAnsi="Times New Roman" w:eastAsia="SimSun"/>
          <w:b w:val="0"/>
          <w:sz w:val="21"/>
        </w:rPr>
        <w:t xml:space="preserve"> cm^{-3}，温度取 300 K。默认过渡区域网格密度为 </w:t>
      </w:r>
      <m:oMath xmlns:mml="http://www.w3.org/1998/Math/MathML">
        <m:r>
          <m:t>2.0×</m:t>
        </m:r>
        <m:sSup>
          <m:e>
            <m:r>
              <m:t>10</m:t>
            </m:r>
          </m:e>
          <m:sup>
            <m:r>
              <m:t>−7</m:t>
            </m:r>
          </m:sup>
        </m:sSup>
      </m:oMath>
      <w:r>
        <w:rPr>
          <w:rFonts w:ascii="Times New Roman" w:hAnsi="Times New Roman" w:eastAsia="SimSun"/>
          <w:b w:val="0"/>
          <w:sz w:val="21"/>
        </w:rPr>
        <w:t xml:space="preserve"> cm。器件参数如表1所示。</w:t>
      </w:r>
    </w:p>
    <w:p>
      <w:pPr>
        <w:spacing w:line="360" w:lineRule="auto"/>
        <w:ind w:firstLine="403"/>
      </w:pPr>
      <w:r>
        <w:rPr>
          <w:rFonts w:ascii="Times New Roman" w:hAnsi="Times New Roman" w:eastAsia="SimSun"/>
          <w:b w:val="0"/>
          <w:sz w:val="21"/>
        </w:rPr>
        <w:t>表1  一维硅 PIN 二极管基准参数</w:t>
      </w:r>
    </w:p>
    <w:tbl>
      <w:tblPr>
        <w:tblStyle w:val="TableGrid"/>
        <w:tblW w:type="auto" w:w="0"/>
        <w:tblLook w:firstColumn="1" w:firstRow="1" w:lastColumn="0" w:lastRow="0" w:noHBand="0" w:noVBand="1" w:val="04A0"/>
      </w:tblPr>
      <w:tblGrid>
        <w:gridCol w:w="2771"/>
        <w:gridCol w:w="2771"/>
        <w:gridCol w:w="2771"/>
      </w:tblGrid>
      <w:tr>
        <w:tc>
          <w:tcPr>
            <w:tcW w:type="dxa" w:w="2771"/>
          </w:tcPr>
          <w:p>
            <w:pPr>
              <w:jc w:val="center"/>
            </w:pPr>
            <w:r/>
            <w:r>
              <w:rPr>
                <w:rFonts w:ascii="Times New Roman" w:hAnsi="Times New Roman" w:eastAsia="SimSun"/>
                <w:b/>
                <w:sz w:val="21"/>
              </w:rPr>
              <w:t>参数</w:t>
            </w:r>
          </w:p>
        </w:tc>
        <w:tc>
          <w:tcPr>
            <w:tcW w:type="dxa" w:w="2771"/>
          </w:tcPr>
          <w:p>
            <w:pPr>
              <w:jc w:val="center"/>
            </w:pPr>
            <w:r/>
            <w:r>
              <w:rPr>
                <w:rFonts w:ascii="Times New Roman" w:hAnsi="Times New Roman" w:eastAsia="SimSun"/>
                <w:b/>
                <w:sz w:val="21"/>
              </w:rPr>
              <w:t>数值</w:t>
            </w:r>
          </w:p>
        </w:tc>
        <w:tc>
          <w:tcPr>
            <w:tcW w:type="dxa" w:w="2771"/>
          </w:tcPr>
          <w:p>
            <w:pPr>
              <w:jc w:val="center"/>
            </w:pPr>
            <w:r/>
            <w:r>
              <w:rPr>
                <w:rFonts w:ascii="Times New Roman" w:hAnsi="Times New Roman" w:eastAsia="SimSun"/>
                <w:b/>
                <w:sz w:val="21"/>
              </w:rPr>
              <w:t>说明</w:t>
            </w:r>
          </w:p>
        </w:tc>
      </w:tr>
      <w:tr>
        <w:tc>
          <w:tcPr>
            <w:tcW w:type="dxa" w:w="2771"/>
          </w:tcPr>
          <w:p>
            <w:pPr>
              <w:jc w:val="center"/>
            </w:pPr>
            <w:r/>
            <w:r>
              <w:rPr>
                <w:rFonts w:ascii="Times New Roman" w:hAnsi="Times New Roman" w:eastAsia="SimSun"/>
                <w:b w:val="0"/>
                <w:sz w:val="21"/>
              </w:rPr>
              <w:t>器件总长度</w:t>
            </w:r>
          </w:p>
        </w:tc>
        <w:tc>
          <w:tcPr>
            <w:tcW w:type="dxa" w:w="2771"/>
          </w:tcPr>
          <w:p>
            <w:pPr>
              <w:jc w:val="center"/>
            </w:pPr>
            <w:r/>
            <m:oMath xmlns:mml="http://www.w3.org/1998/Math/MathML">
              <m:r>
                <m:t>3.0×</m:t>
              </m:r>
              <m:sSup>
                <m:e>
                  <m:r>
                    <m:t>10</m:t>
                  </m:r>
                </m:e>
                <m:sup>
                  <m:r>
                    <m:t>−4</m:t>
                  </m:r>
                </m:sup>
              </m:sSup>
            </m:oMath>
            <w:r>
              <w:rPr>
                <w:rFonts w:ascii="Times New Roman" w:hAnsi="Times New Roman" w:eastAsia="SimSun"/>
                <w:b w:val="0"/>
                <w:sz w:val="21"/>
              </w:rPr>
              <w:t xml:space="preserve"> cm</w:t>
            </w:r>
          </w:p>
        </w:tc>
        <w:tc>
          <w:tcPr>
            <w:tcW w:type="dxa" w:w="2771"/>
          </w:tcPr>
          <w:p>
            <w:pPr>
              <w:jc w:val="center"/>
            </w:pPr>
            <w:r/>
            <w:r>
              <w:rPr>
                <w:rFonts w:ascii="Times New Roman" w:hAnsi="Times New Roman" w:eastAsia="SimSun"/>
                <w:b w:val="0"/>
                <w:sz w:val="21"/>
              </w:rPr>
              <w:t>一维仿真区域</w:t>
            </w:r>
          </w:p>
        </w:tc>
      </w:tr>
      <w:tr>
        <w:tc>
          <w:tcPr>
            <w:tcW w:type="dxa" w:w="2771"/>
          </w:tcPr>
          <w:p>
            <w:pPr>
              <w:jc w:val="center"/>
            </w:pPr>
            <w:r/>
            <w:r>
              <w:rPr>
                <w:rFonts w:ascii="Times New Roman" w:hAnsi="Times New Roman" w:eastAsia="SimSun"/>
                <w:b w:val="0"/>
                <w:sz w:val="21"/>
              </w:rPr>
              <w:t>P 区宽度</w:t>
            </w:r>
          </w:p>
        </w:tc>
        <w:tc>
          <w:tcPr>
            <w:tcW w:type="dxa" w:w="2771"/>
          </w:tcPr>
          <w:p>
            <w:pPr>
              <w:jc w:val="center"/>
            </w:pPr>
            <w:r/>
            <m:oMath xmlns:mml="http://www.w3.org/1998/Math/MathML">
              <m:r>
                <m:t>5.0×</m:t>
              </m:r>
              <m:sSup>
                <m:e>
                  <m:r>
                    <m:t>10</m:t>
                  </m:r>
                </m:e>
                <m:sup>
                  <m:r>
                    <m:t>−5</m:t>
                  </m:r>
                </m:sup>
              </m:sSup>
            </m:oMath>
            <w:r>
              <w:rPr>
                <w:rFonts w:ascii="Times New Roman" w:hAnsi="Times New Roman" w:eastAsia="SimSun"/>
                <w:b w:val="0"/>
                <w:sz w:val="21"/>
              </w:rPr>
              <w:t xml:space="preserve"> cm</w:t>
            </w:r>
          </w:p>
        </w:tc>
        <w:tc>
          <w:tcPr>
            <w:tcW w:type="dxa" w:w="2771"/>
          </w:tcPr>
          <w:p>
            <w:pPr>
              <w:jc w:val="center"/>
            </w:pPr>
            <w:r/>
            <w:r>
              <w:rPr>
                <w:rFonts w:ascii="Times New Roman" w:hAnsi="Times New Roman" w:eastAsia="SimSun"/>
                <w:b w:val="0"/>
                <w:sz w:val="21"/>
              </w:rPr>
              <w:t>左端重掺杂区</w:t>
            </w:r>
          </w:p>
        </w:tc>
      </w:tr>
      <w:tr>
        <w:tc>
          <w:tcPr>
            <w:tcW w:type="dxa" w:w="2771"/>
          </w:tcPr>
          <w:p>
            <w:pPr>
              <w:jc w:val="center"/>
            </w:pPr>
            <w:r/>
            <w:r>
              <w:rPr>
                <w:rFonts w:ascii="Times New Roman" w:hAnsi="Times New Roman" w:eastAsia="SimSun"/>
                <w:b w:val="0"/>
                <w:sz w:val="21"/>
              </w:rPr>
              <w:t>I 区宽度</w:t>
            </w:r>
          </w:p>
        </w:tc>
        <w:tc>
          <w:tcPr>
            <w:tcW w:type="dxa" w:w="2771"/>
          </w:tcPr>
          <w:p>
            <w:pPr>
              <w:jc w:val="center"/>
            </w:pPr>
            <w:r/>
            <m:oMath xmlns:mml="http://www.w3.org/1998/Math/MathML">
              <m:r>
                <m:t>2.0×</m:t>
              </m:r>
              <m:sSup>
                <m:e>
                  <m:r>
                    <m:t>10</m:t>
                  </m:r>
                </m:e>
                <m:sup>
                  <m:r>
                    <m:t>−4</m:t>
                  </m:r>
                </m:sup>
              </m:sSup>
            </m:oMath>
            <w:r>
              <w:rPr>
                <w:rFonts w:ascii="Times New Roman" w:hAnsi="Times New Roman" w:eastAsia="SimSun"/>
                <w:b w:val="0"/>
                <w:sz w:val="21"/>
              </w:rPr>
              <w:t xml:space="preserve"> cm</w:t>
            </w:r>
          </w:p>
        </w:tc>
        <w:tc>
          <w:tcPr>
            <w:tcW w:type="dxa" w:w="2771"/>
          </w:tcPr>
          <w:p>
            <w:pPr>
              <w:jc w:val="center"/>
            </w:pPr>
            <w:r/>
            <w:r>
              <w:rPr>
                <w:rFonts w:ascii="Times New Roman" w:hAnsi="Times New Roman" w:eastAsia="SimSun"/>
                <w:b w:val="0"/>
                <w:sz w:val="21"/>
              </w:rPr>
              <w:t>轻掺杂漂移区</w:t>
            </w:r>
          </w:p>
        </w:tc>
      </w:tr>
      <w:tr>
        <w:tc>
          <w:tcPr>
            <w:tcW w:type="dxa" w:w="2771"/>
          </w:tcPr>
          <w:p>
            <w:pPr>
              <w:jc w:val="center"/>
            </w:pPr>
            <w:r/>
            <w:r>
              <w:rPr>
                <w:rFonts w:ascii="Times New Roman" w:hAnsi="Times New Roman" w:eastAsia="SimSun"/>
                <w:b w:val="0"/>
                <w:sz w:val="21"/>
              </w:rPr>
              <w:t>N 区宽度</w:t>
            </w:r>
          </w:p>
        </w:tc>
        <w:tc>
          <w:tcPr>
            <w:tcW w:type="dxa" w:w="2771"/>
          </w:tcPr>
          <w:p>
            <w:pPr>
              <w:jc w:val="center"/>
            </w:pPr>
            <w:r/>
            <m:oMath xmlns:mml="http://www.w3.org/1998/Math/MathML">
              <m:r>
                <m:t>5.0×</m:t>
              </m:r>
              <m:sSup>
                <m:e>
                  <m:r>
                    <m:t>10</m:t>
                  </m:r>
                </m:e>
                <m:sup>
                  <m:r>
                    <m:t>−5</m:t>
                  </m:r>
                </m:sup>
              </m:sSup>
            </m:oMath>
            <w:r>
              <w:rPr>
                <w:rFonts w:ascii="Times New Roman" w:hAnsi="Times New Roman" w:eastAsia="SimSun"/>
                <w:b w:val="0"/>
                <w:sz w:val="21"/>
              </w:rPr>
              <w:t xml:space="preserve"> cm</w:t>
            </w:r>
          </w:p>
        </w:tc>
        <w:tc>
          <w:tcPr>
            <w:tcW w:type="dxa" w:w="2771"/>
          </w:tcPr>
          <w:p>
            <w:pPr>
              <w:jc w:val="center"/>
            </w:pPr>
            <w:r/>
            <w:r>
              <w:rPr>
                <w:rFonts w:ascii="Times New Roman" w:hAnsi="Times New Roman" w:eastAsia="SimSun"/>
                <w:b w:val="0"/>
                <w:sz w:val="21"/>
              </w:rPr>
              <w:t>右端重掺杂区</w:t>
            </w:r>
          </w:p>
        </w:tc>
      </w:tr>
      <w:tr>
        <w:tc>
          <w:tcPr>
            <w:tcW w:type="dxa" w:w="2771"/>
          </w:tcPr>
          <w:p>
            <w:pPr>
              <w:jc w:val="center"/>
            </w:pPr>
            <w:r/>
            <w:r>
              <w:rPr>
                <w:rFonts w:ascii="Times New Roman" w:hAnsi="Times New Roman" w:eastAsia="SimSun"/>
                <w:b w:val="0"/>
                <w:sz w:val="21"/>
              </w:rPr>
              <w:t>P 区受主浓度</w:t>
            </w:r>
          </w:p>
        </w:tc>
        <w:tc>
          <w:tcPr>
            <w:tcW w:type="dxa" w:w="2771"/>
          </w:tcPr>
          <w:p>
            <w:pPr>
              <w:jc w:val="center"/>
            </w:pPr>
            <w:r/>
            <m:oMath xmlns:mml="http://www.w3.org/1998/Math/MathML">
              <m:r>
                <m:t>1.0×</m:t>
              </m:r>
              <m:sSup>
                <m:e>
                  <m:r>
                    <m:t>10</m:t>
                  </m:r>
                </m:e>
                <m:sup>
                  <m:r>
                    <m:t>17</m:t>
                  </m:r>
                </m:sup>
              </m:sSup>
            </m:oMath>
            <w:r>
              <w:rPr>
                <w:rFonts w:ascii="Times New Roman" w:hAnsi="Times New Roman" w:eastAsia="SimSun"/>
                <w:b w:val="0"/>
                <w:sz w:val="21"/>
              </w:rPr>
              <w:t xml:space="preserve"> cm^{-3}</w:t>
            </w:r>
          </w:p>
        </w:tc>
        <w:tc>
          <w:tcPr>
            <w:tcW w:type="dxa" w:w="2771"/>
          </w:tcPr>
          <w:p>
            <w:pPr>
              <w:jc w:val="center"/>
            </w:pPr>
            <w:r/>
            <w:r>
              <w:rPr>
                <w:rFonts w:ascii="Times New Roman" w:hAnsi="Times New Roman" w:eastAsia="SimSun"/>
                <w:b w:val="0"/>
                <w:sz w:val="21"/>
              </w:rPr>
              <w:t>阶跃掺杂</w:t>
            </w:r>
          </w:p>
        </w:tc>
      </w:tr>
      <w:tr>
        <w:tc>
          <w:tcPr>
            <w:tcW w:type="dxa" w:w="2771"/>
          </w:tcPr>
          <w:p>
            <w:pPr>
              <w:jc w:val="center"/>
            </w:pPr>
            <w:r/>
            <w:r>
              <w:rPr>
                <w:rFonts w:ascii="Times New Roman" w:hAnsi="Times New Roman" w:eastAsia="SimSun"/>
                <w:b w:val="0"/>
                <w:sz w:val="21"/>
              </w:rPr>
              <w:t>N 区施主浓度</w:t>
            </w:r>
          </w:p>
        </w:tc>
        <w:tc>
          <w:tcPr>
            <w:tcW w:type="dxa" w:w="2771"/>
          </w:tcPr>
          <w:p>
            <w:pPr>
              <w:jc w:val="center"/>
            </w:pPr>
            <w:r/>
            <m:oMath xmlns:mml="http://www.w3.org/1998/Math/MathML">
              <m:r>
                <m:t>1.0×</m:t>
              </m:r>
              <m:sSup>
                <m:e>
                  <m:r>
                    <m:t>10</m:t>
                  </m:r>
                </m:e>
                <m:sup>
                  <m:r>
                    <m:t>17</m:t>
                  </m:r>
                </m:sup>
              </m:sSup>
            </m:oMath>
            <w:r>
              <w:rPr>
                <w:rFonts w:ascii="Times New Roman" w:hAnsi="Times New Roman" w:eastAsia="SimSun"/>
                <w:b w:val="0"/>
                <w:sz w:val="21"/>
              </w:rPr>
              <w:t xml:space="preserve"> cm^{-3}</w:t>
            </w:r>
          </w:p>
        </w:tc>
        <w:tc>
          <w:tcPr>
            <w:tcW w:type="dxa" w:w="2771"/>
          </w:tcPr>
          <w:p>
            <w:pPr>
              <w:jc w:val="center"/>
            </w:pPr>
            <w:r/>
            <w:r>
              <w:rPr>
                <w:rFonts w:ascii="Times New Roman" w:hAnsi="Times New Roman" w:eastAsia="SimSun"/>
                <w:b w:val="0"/>
                <w:sz w:val="21"/>
              </w:rPr>
              <w:t>阶跃掺杂</w:t>
            </w:r>
          </w:p>
        </w:tc>
      </w:tr>
      <w:tr>
        <w:tc>
          <w:tcPr>
            <w:tcW w:type="dxa" w:w="2771"/>
          </w:tcPr>
          <w:p>
            <w:pPr>
              <w:jc w:val="center"/>
            </w:pPr>
            <w:r/>
            <w:r>
              <w:rPr>
                <w:rFonts w:ascii="Times New Roman" w:hAnsi="Times New Roman" w:eastAsia="SimSun"/>
                <w:b w:val="0"/>
                <w:sz w:val="21"/>
              </w:rPr>
              <w:t>I 区背景施主浓度</w:t>
            </w:r>
          </w:p>
        </w:tc>
        <w:tc>
          <w:tcPr>
            <w:tcW w:type="dxa" w:w="2771"/>
          </w:tcPr>
          <w:p>
            <w:pPr>
              <w:jc w:val="center"/>
            </w:pPr>
            <w:r/>
            <m:oMath xmlns:mml="http://www.w3.org/1998/Math/MathML">
              <m:r>
                <m:t>1.0×</m:t>
              </m:r>
              <m:sSup>
                <m:e>
                  <m:r>
                    <m:t>10</m:t>
                  </m:r>
                </m:e>
                <m:sup>
                  <m:r>
                    <m:t>12</m:t>
                  </m:r>
                </m:sup>
              </m:sSup>
            </m:oMath>
            <w:r>
              <w:rPr>
                <w:rFonts w:ascii="Times New Roman" w:hAnsi="Times New Roman" w:eastAsia="SimSun"/>
                <w:b w:val="0"/>
                <w:sz w:val="21"/>
              </w:rPr>
              <w:t xml:space="preserve"> cm^{-3}</w:t>
            </w:r>
          </w:p>
        </w:tc>
        <w:tc>
          <w:tcPr>
            <w:tcW w:type="dxa" w:w="2771"/>
          </w:tcPr>
          <w:p>
            <w:pPr>
              <w:jc w:val="center"/>
            </w:pPr>
            <w:r/>
            <w:r>
              <w:rPr>
                <w:rFonts w:ascii="Times New Roman" w:hAnsi="Times New Roman" w:eastAsia="SimSun"/>
                <w:b w:val="0"/>
                <w:sz w:val="21"/>
              </w:rPr>
              <w:t>轻掺杂</w:t>
            </w:r>
          </w:p>
        </w:tc>
      </w:tr>
      <w:tr>
        <w:tc>
          <w:tcPr>
            <w:tcW w:type="dxa" w:w="2771"/>
          </w:tcPr>
          <w:p>
            <w:pPr>
              <w:jc w:val="center"/>
            </w:pPr>
            <w:r/>
            <w:r>
              <w:rPr>
                <w:rFonts w:ascii="Times New Roman" w:hAnsi="Times New Roman" w:eastAsia="SimSun"/>
                <w:b w:val="0"/>
                <w:sz w:val="21"/>
              </w:rPr>
              <w:t>温度</w:t>
            </w:r>
          </w:p>
        </w:tc>
        <w:tc>
          <w:tcPr>
            <w:tcW w:type="dxa" w:w="2771"/>
          </w:tcPr>
          <w:p>
            <w:pPr>
              <w:jc w:val="center"/>
            </w:pPr>
            <w:r/>
            <w:r>
              <w:rPr>
                <w:rFonts w:ascii="Times New Roman" w:hAnsi="Times New Roman" w:eastAsia="SimSun"/>
                <w:b w:val="0"/>
                <w:sz w:val="21"/>
              </w:rPr>
              <w:t>300 K</w:t>
            </w:r>
          </w:p>
        </w:tc>
        <w:tc>
          <w:tcPr>
            <w:tcW w:type="dxa" w:w="2771"/>
          </w:tcPr>
          <w:p>
            <w:pPr>
              <w:jc w:val="center"/>
            </w:pPr>
            <w:r/>
            <w:r>
              <w:rPr>
                <w:rFonts w:ascii="Times New Roman" w:hAnsi="Times New Roman" w:eastAsia="SimSun"/>
                <w:b w:val="0"/>
                <w:sz w:val="21"/>
              </w:rPr>
              <w:t>等温条件</w:t>
            </w:r>
          </w:p>
        </w:tc>
      </w:tr>
      <w:tr>
        <w:tc>
          <w:tcPr>
            <w:tcW w:type="dxa" w:w="2771"/>
          </w:tcPr>
          <w:p>
            <w:pPr>
              <w:jc w:val="center"/>
            </w:pPr>
            <w:r/>
            <w:r>
              <w:rPr>
                <w:rFonts w:ascii="Times New Roman" w:hAnsi="Times New Roman" w:eastAsia="SimSun"/>
                <w:b w:val="0"/>
                <w:sz w:val="21"/>
              </w:rPr>
              <w:t>默认网格密度</w:t>
            </w:r>
          </w:p>
        </w:tc>
        <w:tc>
          <w:tcPr>
            <w:tcW w:type="dxa" w:w="2771"/>
          </w:tcPr>
          <w:p>
            <w:pPr>
              <w:jc w:val="center"/>
            </w:pPr>
            <w:r/>
            <m:oMath xmlns:mml="http://www.w3.org/1998/Math/MathML">
              <m:r>
                <m:t>2.0×</m:t>
              </m:r>
              <m:sSup>
                <m:e>
                  <m:r>
                    <m:t>10</m:t>
                  </m:r>
                </m:e>
                <m:sup>
                  <m:r>
                    <m:t>−7</m:t>
                  </m:r>
                </m:sup>
              </m:sSup>
            </m:oMath>
            <w:r>
              <w:rPr>
                <w:rFonts w:ascii="Times New Roman" w:hAnsi="Times New Roman" w:eastAsia="SimSun"/>
                <w:b w:val="0"/>
                <w:sz w:val="21"/>
              </w:rPr>
              <w:t xml:space="preserve"> cm</w:t>
            </w:r>
          </w:p>
        </w:tc>
        <w:tc>
          <w:tcPr>
            <w:tcW w:type="dxa" w:w="2771"/>
          </w:tcPr>
          <w:p>
            <w:pPr>
              <w:jc w:val="center"/>
            </w:pPr>
            <w:r/>
            <w:r>
              <w:rPr>
                <w:rFonts w:ascii="Times New Roman" w:hAnsi="Times New Roman" w:eastAsia="SimSun"/>
                <w:b w:val="0"/>
                <w:sz w:val="21"/>
              </w:rPr>
              <w:t>过渡区附近</w:t>
            </w:r>
          </w:p>
        </w:tc>
      </w:tr>
      <w:tr>
        <w:tc>
          <w:tcPr>
            <w:tcW w:type="dxa" w:w="2771"/>
          </w:tcPr>
          <w:p>
            <w:pPr>
              <w:jc w:val="center"/>
            </w:pPr>
            <w:r/>
            <w:r>
              <w:rPr>
                <w:rFonts w:ascii="Times New Roman" w:hAnsi="Times New Roman" w:eastAsia="SimSun"/>
                <w:b w:val="0"/>
                <w:sz w:val="21"/>
              </w:rPr>
              <w:t>参考面积</w:t>
            </w:r>
          </w:p>
        </w:tc>
        <w:tc>
          <w:tcPr>
            <w:tcW w:type="dxa" w:w="2771"/>
          </w:tcPr>
          <w:p>
            <w:pPr>
              <w:jc w:val="center"/>
            </w:pPr>
            <w:r/>
            <m:oMath xmlns:mml="http://www.w3.org/1998/Math/MathML">
              <m:r>
                <m:t>1.0</m:t>
              </m:r>
            </m:oMath>
            <w:r>
              <w:rPr>
                <w:rFonts w:ascii="Times New Roman" w:hAnsi="Times New Roman" w:eastAsia="SimSun"/>
                <w:b w:val="0"/>
                <w:sz w:val="21"/>
              </w:rPr>
              <w:t xml:space="preserve"> cm^2</w:t>
            </w:r>
          </w:p>
        </w:tc>
        <w:tc>
          <w:tcPr>
            <w:tcW w:type="dxa" w:w="2771"/>
          </w:tcPr>
          <w:p>
            <w:pPr>
              <w:jc w:val="center"/>
            </w:pPr>
            <w:r/>
            <w:r>
              <w:rPr>
                <w:rFonts w:ascii="Times New Roman" w:hAnsi="Times New Roman" w:eastAsia="SimSun"/>
                <w:b w:val="0"/>
                <w:sz w:val="21"/>
              </w:rPr>
              <w:t>用于电流密度和面电荷密度归一化</w:t>
            </w:r>
          </w:p>
        </w:tc>
      </w:tr>
    </w:tbl>
    <w:p>
      <w:pPr>
        <w:spacing w:line="360" w:lineRule="auto"/>
        <w:ind w:firstLine="403"/>
      </w:pPr>
      <w:r>
        <w:rPr>
          <w:rFonts w:ascii="Times New Roman" w:hAnsi="Times New Roman" w:eastAsia="SimSun"/>
          <w:b w:val="0"/>
          <w:sz w:val="21"/>
        </w:rPr>
        <w:t xml:space="preserve">掺杂分布采用阶跃函数定义。设 P/I 和 I/N 过渡位置分别为 </w:t>
      </w:r>
      <m:oMath xmlns:mml="http://www.w3.org/1998/Math/MathML">
        <m:sSub>
          <m:e>
            <m:r>
              <m:t>x</m:t>
            </m:r>
          </m:e>
          <m:sub>
            <m:r>
              <m:t>P</m:t>
            </m:r>
          </m:sub>
        </m:sSub>
      </m:oMath>
      <w:r>
        <w:rPr>
          <w:rFonts w:ascii="Times New Roman" w:hAnsi="Times New Roman" w:eastAsia="SimSun"/>
          <w:b w:val="0"/>
          <w:sz w:val="21"/>
        </w:rPr>
        <w:t xml:space="preserve"> 和 </w:t>
      </w:r>
      <m:oMath xmlns:mml="http://www.w3.org/1998/Math/MathML">
        <m:sSub>
          <m:e>
            <m:r>
              <m:t>x</m:t>
            </m:r>
          </m:e>
          <m:sub>
            <m:r>
              <m:t>N</m:t>
            </m:r>
          </m:sub>
        </m:sSub>
      </m:oMath>
      <w:r>
        <w:rPr>
          <w:rFonts w:ascii="Times New Roman" w:hAnsi="Times New Roman" w:eastAsia="SimSun"/>
          <w:b w:val="0"/>
          <w:sz w:val="21"/>
        </w:rPr>
        <w:t>，则受主和施主浓度可表示为</w:t>
      </w:r>
    </w:p>
    <w:p>
      <w:pPr>
        <w:jc w:val="center"/>
      </w:pPr>
      <m:oMath xmlns:mml="http://www.w3.org/1998/Math/MathML">
        <m:sSub>
          <m:e>
            <m:r>
              <m:t>N</m:t>
            </m:r>
          </m:e>
          <m:sub>
            <m:r>
              <m:t>A</m:t>
            </m:r>
          </m:sub>
        </m:sSub>
        <m:r>
          <m:t>(x)=</m:t>
        </m:r>
        <m:sSub>
          <m:e>
            <m:r>
              <m:t>N</m:t>
            </m:r>
          </m:e>
          <m:sub>
            <m:r>
              <m:t>P</m:t>
            </m:r>
          </m:sub>
        </m:sSub>
        <m:r>
          <m:t>H(</m:t>
        </m:r>
        <m:sSub>
          <m:e>
            <m:r>
              <m:t>x</m:t>
            </m:r>
          </m:e>
          <m:sub>
            <m:r>
              <m:t>P</m:t>
            </m:r>
          </m:sub>
        </m:sSub>
        <m:r>
          <m:t>−x),</m:t>
        </m:r>
      </m:oMath>
    </w:p>
    <w:p>
      <w:pPr>
        <w:jc w:val="center"/>
      </w:pPr>
      <m:oMath xmlns:mml="http://www.w3.org/1998/Math/MathML">
        <m:sSub>
          <m:e>
            <m:r>
              <m:t>N</m:t>
            </m:r>
          </m:e>
          <m:sub>
            <m:r>
              <m:t>D</m:t>
            </m:r>
          </m:sub>
        </m:sSub>
        <m:r>
          <m:t>(x)=</m:t>
        </m:r>
        <m:sSub>
          <m:e>
            <m:r>
              <m:t>N</m:t>
            </m:r>
          </m:e>
          <m:sub>
            <m:r>
              <m:t>N</m:t>
            </m:r>
          </m:sub>
        </m:sSub>
        <m:r>
          <m:t>H(x−</m:t>
        </m:r>
        <m:sSub>
          <m:e>
            <m:r>
              <m:t>x</m:t>
            </m:r>
          </m:e>
          <m:sub>
            <m:r>
              <m:t>N</m:t>
            </m:r>
          </m:sub>
        </m:sSub>
        <m:r>
          <m:t>)+</m:t>
        </m:r>
        <m:sSub>
          <m:e>
            <m:r>
              <m:t>N</m:t>
            </m:r>
          </m:e>
          <m:sub>
            <m:r>
              <m:t>I</m:t>
            </m:r>
          </m:sub>
        </m:sSub>
        <m:r>
          <m:t>H(x−</m:t>
        </m:r>
        <m:sSub>
          <m:e>
            <m:r>
              <m:t>x</m:t>
            </m:r>
          </m:e>
          <m:sub>
            <m:r>
              <m:t>P</m:t>
            </m:r>
          </m:sub>
        </m:sSub>
        <m:r>
          <m:t>)H(</m:t>
        </m:r>
        <m:sSub>
          <m:e>
            <m:r>
              <m:t>x</m:t>
            </m:r>
          </m:e>
          <m:sub>
            <m:r>
              <m:t>N</m:t>
            </m:r>
          </m:sub>
        </m:sSub>
        <m:r>
          <m:t>−x),</m:t>
        </m:r>
      </m:oMath>
    </w:p>
    <w:p>
      <w:pPr>
        <w:spacing w:line="360" w:lineRule="auto"/>
        <w:ind w:firstLine="403"/>
      </w:pPr>
      <w:r>
        <w:rPr>
          <w:rFonts w:ascii="Times New Roman" w:hAnsi="Times New Roman" w:eastAsia="SimSun"/>
          <w:b w:val="0"/>
          <w:sz w:val="21"/>
        </w:rPr>
        <w:t xml:space="preserve">其中 </w:t>
      </w:r>
      <m:oMath xmlns:mml="http://www.w3.org/1998/Math/MathML">
        <m:r>
          <m:t>H(·)</m:t>
        </m:r>
      </m:oMath>
      <w:r>
        <w:rPr>
          <w:rFonts w:ascii="Times New Roman" w:hAnsi="Times New Roman" w:eastAsia="SimSun"/>
          <w:b w:val="0"/>
          <w:sz w:val="21"/>
        </w:rPr>
        <w:t xml:space="preserve"> 为阶跃函数，</w:t>
      </w:r>
      <m:oMath xmlns:mml="http://www.w3.org/1998/Math/MathML">
        <m:sSub>
          <m:e>
            <m:r>
              <m:t>N</m:t>
            </m:r>
          </m:e>
          <m:sub>
            <m:r>
              <m:t>P</m:t>
            </m:r>
          </m:sub>
        </m:sSub>
      </m:oMath>
      <w:r>
        <w:rPr>
          <w:rFonts w:ascii="Times New Roman" w:hAnsi="Times New Roman" w:eastAsia="SimSun"/>
          <w:b w:val="0"/>
          <w:sz w:val="21"/>
        </w:rPr>
        <w:t>、</w:t>
      </w:r>
      <m:oMath xmlns:mml="http://www.w3.org/1998/Math/MathML">
        <m:sSub>
          <m:e>
            <m:r>
              <m:t>N</m:t>
            </m:r>
          </m:e>
          <m:sub>
            <m:r>
              <m:t>N</m:t>
            </m:r>
          </m:sub>
        </m:sSub>
      </m:oMath>
      <w:r>
        <w:rPr>
          <w:rFonts w:ascii="Times New Roman" w:hAnsi="Times New Roman" w:eastAsia="SimSun"/>
          <w:b w:val="0"/>
          <w:sz w:val="21"/>
        </w:rPr>
        <w:t xml:space="preserve"> 和 </w:t>
      </w:r>
      <m:oMath xmlns:mml="http://www.w3.org/1998/Math/MathML">
        <m:sSub>
          <m:e>
            <m:r>
              <m:t>N</m:t>
            </m:r>
          </m:e>
          <m:sub>
            <m:r>
              <m:t>I</m:t>
            </m:r>
          </m:sub>
        </m:sSub>
      </m:oMath>
      <w:r>
        <w:rPr>
          <w:rFonts w:ascii="Times New Roman" w:hAnsi="Times New Roman" w:eastAsia="SimSun"/>
          <w:b w:val="0"/>
          <w:sz w:val="21"/>
        </w:rPr>
        <w:t xml:space="preserve"> 分别为 P 区、N 区和 I 区掺杂浓度。</w:t>
      </w:r>
    </w:p>
    <w:p>
      <w:pPr>
        <w:spacing w:line="360" w:lineRule="auto"/>
      </w:pPr>
      <w:r>
        <w:rPr>
          <w:rFonts w:ascii="Times New Roman" w:hAnsi="Times New Roman" w:eastAsia="SimSun"/>
          <w:b/>
          <w:sz w:val="24"/>
        </w:rPr>
        <w:t>2.2 物理方程与数值求解</w:t>
      </w:r>
    </w:p>
    <w:p>
      <w:pPr>
        <w:spacing w:line="360" w:lineRule="auto"/>
        <w:ind w:firstLine="403"/>
      </w:pPr>
      <w:r>
        <w:rPr>
          <w:rFonts w:ascii="Times New Roman" w:hAnsi="Times New Roman" w:eastAsia="SimSun"/>
          <w:b w:val="0"/>
          <w:sz w:val="21"/>
        </w:rPr>
        <w:t xml:space="preserve">仿真采用硅漂移-扩散模型，包括 Poisson 方程、电子连续性方程和空穴连续性方程。电势、电子浓度和空穴浓度分别记为 </w:t>
      </w:r>
      <m:oMath xmlns:mml="http://www.w3.org/1998/Math/MathML">
        <m:r>
          <m:t>ψ</m:t>
        </m:r>
      </m:oMath>
      <w:r>
        <w:rPr>
          <w:rFonts w:ascii="Times New Roman" w:hAnsi="Times New Roman" w:eastAsia="SimSun"/>
          <w:b w:val="0"/>
          <w:sz w:val="21"/>
        </w:rPr>
        <w:t>、</w:t>
      </w:r>
      <m:oMath xmlns:mml="http://www.w3.org/1998/Math/MathML">
        <m:r>
          <m:t>n</m:t>
        </m:r>
      </m:oMath>
      <w:r>
        <w:rPr>
          <w:rFonts w:ascii="Times New Roman" w:hAnsi="Times New Roman" w:eastAsia="SimSun"/>
          <w:b w:val="0"/>
          <w:sz w:val="21"/>
        </w:rPr>
        <w:t xml:space="preserve"> 和 </w:t>
      </w:r>
      <m:oMath xmlns:mml="http://www.w3.org/1998/Math/MathML">
        <m:r>
          <m:t>p</m:t>
        </m:r>
      </m:oMath>
      <w:r>
        <w:rPr>
          <w:rFonts w:ascii="Times New Roman" w:hAnsi="Times New Roman" w:eastAsia="SimSun"/>
          <w:b w:val="0"/>
          <w:sz w:val="21"/>
        </w:rPr>
        <w:t>。Poisson 方程可写为</w:t>
      </w:r>
    </w:p>
    <w:p>
      <w:pPr>
        <w:jc w:val="center"/>
      </w:pPr>
      <m:oMath xmlns:mml="http://www.w3.org/1998/Math/MathML">
        <m:r>
          <m:t>∇·(ε∇ψ)=−q(p−n+</m:t>
        </m:r>
        <m:sSub>
          <m:e>
            <m:r>
              <m:t>N</m:t>
            </m:r>
          </m:e>
          <m:sub>
            <m:r>
              <m:t>D</m:t>
            </m:r>
          </m:sub>
        </m:sSub>
        <m:r>
          <m:t>−</m:t>
        </m:r>
        <m:sSub>
          <m:e>
            <m:r>
              <m:t>N</m:t>
            </m:r>
          </m:e>
          <m:sub>
            <m:r>
              <m:t>A</m:t>
            </m:r>
          </m:sub>
        </m:sSub>
        <m:r>
          <m:t>),</m:t>
        </m:r>
      </m:oMath>
    </w:p>
    <w:p>
      <w:pPr>
        <w:spacing w:line="360" w:lineRule="auto"/>
        <w:ind w:firstLine="403"/>
      </w:pPr>
      <w:r>
        <w:rPr>
          <w:rFonts w:ascii="Times New Roman" w:hAnsi="Times New Roman" w:eastAsia="SimSun"/>
          <w:b w:val="0"/>
          <w:sz w:val="21"/>
        </w:rPr>
        <w:t>电子和空穴连续性方程为</w:t>
      </w:r>
    </w:p>
    <w:p>
      <w:pPr>
        <w:jc w:val="center"/>
      </w:pPr>
      <m:oMath xmlns:mml="http://www.w3.org/1998/Math/MathML">
        <m:f>
          <m:fPr>
            <m:type m:val="bar"/>
          </m:fPr>
          <m:num>
            <m:r>
              <m:t>∂n</m:t>
            </m:r>
          </m:num>
          <m:den>
            <m:r>
              <m:t>∂t</m:t>
            </m:r>
          </m:den>
        </m:f>
        <m:r>
          <m:t>=</m:t>
        </m:r>
        <m:f>
          <m:fPr>
            <m:type m:val="bar"/>
          </m:fPr>
          <m:num>
            <m:r>
              <m:t>1</m:t>
            </m:r>
          </m:num>
          <m:den>
            <m:r>
              <m:t>q</m:t>
            </m:r>
          </m:den>
        </m:f>
        <m:r>
          <m:t>∇·</m:t>
        </m:r>
        <m:sSub>
          <m:e>
            <m:r>
              <m:t>J</m:t>
            </m:r>
          </m:e>
          <m:sub>
            <m:r>
              <m:t>n</m:t>
            </m:r>
          </m:sub>
        </m:sSub>
        <m:r>
          <m:t>+G−R,</m:t>
        </m:r>
      </m:oMath>
    </w:p>
    <w:p>
      <w:pPr>
        <w:jc w:val="center"/>
      </w:pPr>
      <m:oMath xmlns:mml="http://www.w3.org/1998/Math/MathML">
        <m:f>
          <m:fPr>
            <m:type m:val="bar"/>
          </m:fPr>
          <m:num>
            <m:r>
              <m:t>∂p</m:t>
            </m:r>
          </m:num>
          <m:den>
            <m:r>
              <m:t>∂t</m:t>
            </m:r>
          </m:den>
        </m:f>
        <m:r>
          <m:t>=−</m:t>
        </m:r>
        <m:f>
          <m:fPr>
            <m:type m:val="bar"/>
          </m:fPr>
          <m:num>
            <m:r>
              <m:t>1</m:t>
            </m:r>
          </m:num>
          <m:den>
            <m:r>
              <m:t>q</m:t>
            </m:r>
          </m:den>
        </m:f>
        <m:r>
          <m:t>∇·</m:t>
        </m:r>
        <m:sSub>
          <m:e>
            <m:r>
              <m:t>J</m:t>
            </m:r>
          </m:e>
          <m:sub>
            <m:r>
              <m:t>p</m:t>
            </m:r>
          </m:sub>
        </m:sSub>
        <m:r>
          <m:t>+G−R.</m:t>
        </m:r>
      </m:oMath>
    </w:p>
    <w:p>
      <w:pPr>
        <w:spacing w:line="360" w:lineRule="auto"/>
        <w:ind w:firstLine="403"/>
      </w:pPr>
      <w:r>
        <w:rPr>
          <w:rFonts w:ascii="Times New Roman" w:hAnsi="Times New Roman" w:eastAsia="SimSun"/>
          <w:b w:val="0"/>
          <w:sz w:val="21"/>
        </w:rPr>
        <w:t xml:space="preserve">其中 </w:t>
      </w:r>
      <m:oMath xmlns:mml="http://www.w3.org/1998/Math/MathML">
        <m:sSub>
          <m:e>
            <m:r>
              <m:t>J</m:t>
            </m:r>
          </m:e>
          <m:sub>
            <m:r>
              <m:t>n</m:t>
            </m:r>
          </m:sub>
        </m:sSub>
      </m:oMath>
      <w:r>
        <w:rPr>
          <w:rFonts w:ascii="Times New Roman" w:hAnsi="Times New Roman" w:eastAsia="SimSun"/>
          <w:b w:val="0"/>
          <w:sz w:val="21"/>
        </w:rPr>
        <w:t xml:space="preserve"> 和 </w:t>
      </w:r>
      <m:oMath xmlns:mml="http://www.w3.org/1998/Math/MathML">
        <m:sSub>
          <m:e>
            <m:r>
              <m:t>J</m:t>
            </m:r>
          </m:e>
          <m:sub>
            <m:r>
              <m:t>p</m:t>
            </m:r>
          </m:sub>
        </m:sSub>
      </m:oMath>
      <w:r>
        <w:rPr>
          <w:rFonts w:ascii="Times New Roman" w:hAnsi="Times New Roman" w:eastAsia="SimSun"/>
          <w:b w:val="0"/>
          <w:sz w:val="21"/>
        </w:rPr>
        <w:t xml:space="preserve"> 分别为电子和空穴电流密度，</w:t>
      </w:r>
      <m:oMath xmlns:mml="http://www.w3.org/1998/Math/MathML">
        <m:r>
          <m:t>R</m:t>
        </m:r>
      </m:oMath>
      <w:r>
        <w:rPr>
          <w:rFonts w:ascii="Times New Roman" w:hAnsi="Times New Roman" w:eastAsia="SimSun"/>
          <w:b w:val="0"/>
          <w:sz w:val="21"/>
        </w:rPr>
        <w:t xml:space="preserve"> 为复合率。本文采用 SRH 复合模型，且令电子寿命和空穴寿命相等，即 </w:t>
      </w:r>
      <m:oMath xmlns:mml="http://www.w3.org/1998/Math/MathML">
        <m:sSub>
          <m:e>
            <m:r>
              <m:t>τ</m:t>
            </m:r>
          </m:e>
          <m:sub>
            <m:r>
              <m:t>n</m:t>
            </m:r>
          </m:sub>
        </m:sSub>
        <m:r>
          <m:t>=</m:t>
        </m:r>
        <m:sSub>
          <m:e>
            <m:r>
              <m:t>τ</m:t>
            </m:r>
          </m:e>
          <m:sub>
            <m:r>
              <m:t>p</m:t>
            </m:r>
          </m:sub>
        </m:sSub>
        <m:r>
          <m:t>=τ</m:t>
        </m:r>
      </m:oMath>
      <w:r>
        <w:rPr>
          <w:rFonts w:ascii="Times New Roman" w:hAnsi="Times New Roman" w:eastAsia="SimSun"/>
          <w:b w:val="0"/>
          <w:sz w:val="21"/>
        </w:rPr>
        <w:t xml:space="preserve">。寿命扫描范围为 </w:t>
      </w:r>
      <m:oMath xmlns:mml="http://www.w3.org/1998/Math/MathML">
        <m:r>
          <m:t>1.0×</m:t>
        </m:r>
        <m:sSup>
          <m:e>
            <m:r>
              <m:t>10</m:t>
            </m:r>
          </m:e>
          <m:sup>
            <m:r>
              <m:t>−8</m:t>
            </m:r>
          </m:sup>
        </m:sSup>
      </m:oMath>
      <w:r>
        <w:rPr>
          <w:rFonts w:ascii="Times New Roman" w:hAnsi="Times New Roman" w:eastAsia="SimSun"/>
          <w:b w:val="0"/>
          <w:sz w:val="21"/>
        </w:rPr>
        <w:t xml:space="preserve"> s 至 </w:t>
      </w:r>
      <m:oMath xmlns:mml="http://www.w3.org/1998/Math/MathML">
        <m:r>
          <m:t>1.0×</m:t>
        </m:r>
        <m:sSup>
          <m:e>
            <m:r>
              <m:t>10</m:t>
            </m:r>
          </m:e>
          <m:sup>
            <m:r>
              <m:t>−5</m:t>
            </m:r>
          </m:sup>
        </m:sSup>
      </m:oMath>
      <w:r>
        <w:rPr>
          <w:rFonts w:ascii="Times New Roman" w:hAnsi="Times New Roman" w:eastAsia="SimSun"/>
          <w:b w:val="0"/>
          <w:sz w:val="21"/>
        </w:rPr>
        <w:t xml:space="preserve"> s。</w:t>
      </w:r>
    </w:p>
    <w:p>
      <w:pPr>
        <w:spacing w:line="360" w:lineRule="auto"/>
        <w:ind w:firstLine="403"/>
      </w:pPr>
      <w:r>
        <w:rPr>
          <w:rFonts w:ascii="Times New Roman" w:hAnsi="Times New Roman" w:eastAsia="SimSun"/>
          <w:b w:val="0"/>
          <w:sz w:val="21"/>
        </w:rPr>
        <w:t xml:space="preserve">DEVSIM 使用有限体积方法构建离散方程，并通过 Python 接口完成网格、区域模型和接触边界的定义。求解流程包括 0 V 平衡初始化、正向预偏置和反向阶跃瞬态。瞬态阶段采用 BDF1 时间积分。默认反向阶跃电压为 -1.0 V，默认时间步长为 </w:t>
      </w:r>
      <m:oMath xmlns:mml="http://www.w3.org/1998/Math/MathML">
        <m:r>
          <m:t>2.0×</m:t>
        </m:r>
        <m:sSup>
          <m:e>
            <m:r>
              <m:t>10</m:t>
            </m:r>
          </m:e>
          <m:sup>
            <m:r>
              <m:t>−9</m:t>
            </m:r>
          </m:sup>
        </m:sSup>
      </m:oMath>
      <w:r>
        <w:rPr>
          <w:rFonts w:ascii="Times New Roman" w:hAnsi="Times New Roman" w:eastAsia="SimSun"/>
          <w:b w:val="0"/>
          <w:sz w:val="21"/>
        </w:rPr>
        <w:t xml:space="preserve"> s，反向恢复仿真总时间为 </w:t>
      </w:r>
      <m:oMath xmlns:mml="http://www.w3.org/1998/Math/MathML">
        <m:r>
          <m:t>1.0×</m:t>
        </m:r>
        <m:sSup>
          <m:e>
            <m:r>
              <m:t>10</m:t>
            </m:r>
          </m:e>
          <m:sup>
            <m:r>
              <m:t>−7</m:t>
            </m:r>
          </m:sup>
        </m:sSup>
      </m:oMath>
      <w:r>
        <w:rPr>
          <w:rFonts w:ascii="Times New Roman" w:hAnsi="Times New Roman" w:eastAsia="SimSun"/>
          <w:b w:val="0"/>
          <w:sz w:val="21"/>
        </w:rPr>
        <w:t xml:space="preserve"> s。</w:t>
      </w:r>
    </w:p>
    <w:p>
      <w:pPr>
        <w:spacing w:line="360" w:lineRule="auto"/>
      </w:pPr>
      <w:r>
        <w:rPr>
          <w:rFonts w:ascii="Times New Roman" w:hAnsi="Times New Roman" w:eastAsia="SimSun"/>
          <w:b/>
          <w:sz w:val="24"/>
        </w:rPr>
        <w:t>2.3 偏置协议</w:t>
      </w:r>
    </w:p>
    <w:p>
      <w:pPr>
        <w:spacing w:line="360" w:lineRule="auto"/>
        <w:ind w:firstLine="403"/>
      </w:pPr>
      <w:r>
        <w:rPr>
          <w:rFonts w:ascii="Times New Roman" w:hAnsi="Times New Roman" w:eastAsia="SimSun"/>
          <w:b w:val="0"/>
          <w:sz w:val="21"/>
        </w:rPr>
        <w:t>本文比较两种正向初始化协议。</w:t>
      </w:r>
    </w:p>
    <w:p>
      <w:pPr>
        <w:spacing w:line="360" w:lineRule="auto"/>
        <w:ind w:firstLine="403"/>
      </w:pPr>
      <w:r>
        <w:rPr>
          <w:rFonts w:ascii="Times New Roman" w:hAnsi="Times New Roman" w:eastAsia="SimSun"/>
          <w:b w:val="0"/>
          <w:sz w:val="21"/>
        </w:rPr>
        <w:t>第一种为固定正向电压协议。正向预偏置电压固定为 0.8 V，随后将顶部接触电压阶跃至 -1.0 V，并记录终端电流波形。该协议容易实现，能够形成较强的载流子注入和明显的恢复电流脉冲，适合作为数值压力测试。</w:t>
      </w:r>
    </w:p>
    <w:p>
      <w:pPr>
        <w:spacing w:line="360" w:lineRule="auto"/>
        <w:ind w:firstLine="403"/>
      </w:pPr>
      <w:r>
        <w:rPr>
          <w:rFonts w:ascii="Times New Roman" w:hAnsi="Times New Roman" w:eastAsia="SimSun"/>
          <w:b w:val="0"/>
          <w:sz w:val="21"/>
        </w:rPr>
        <w:t xml:space="preserve">第二种为固定正向电流协议。脚本先通过 DC I-V 扫描确定目标电流附近的电压区间，再用二分搜索求得使正向电流接近 </w:t>
      </w:r>
      <m:oMath xmlns:mml="http://www.w3.org/1998/Math/MathML">
        <m:sSub>
          <m:e>
            <m:r>
              <m:t>I</m:t>
            </m:r>
          </m:e>
          <m:sub>
            <m:r>
              <m:t>F</m:t>
            </m:r>
          </m:sub>
        </m:sSub>
        <m:r>
          <m:t>=1.0×</m:t>
        </m:r>
        <m:sSup>
          <m:e>
            <m:r>
              <m:t>10</m:t>
            </m:r>
          </m:e>
          <m:sup>
            <m:r>
              <m:t>−3</m:t>
            </m:r>
          </m:sup>
        </m:sSup>
      </m:oMath>
      <w:r>
        <w:rPr>
          <w:rFonts w:ascii="Times New Roman" w:hAnsi="Times New Roman" w:eastAsia="SimSun"/>
          <w:b w:val="0"/>
          <w:sz w:val="21"/>
        </w:rPr>
        <w:t xml:space="preserve"> A 的预偏置电压。本文设置参考面积 </w:t>
      </w:r>
      <m:oMath xmlns:mml="http://www.w3.org/1998/Math/MathML">
        <m:r>
          <m:t>A=1.0</m:t>
        </m:r>
      </m:oMath>
      <w:r>
        <w:rPr>
          <w:rFonts w:ascii="Times New Roman" w:hAnsi="Times New Roman" w:eastAsia="SimSun"/>
          <w:b w:val="0"/>
          <w:sz w:val="21"/>
        </w:rPr>
        <w:t xml:space="preserve"> cm^2，因此该目标值等价于目标正向电流密度 </w:t>
      </w:r>
      <m:oMath xmlns:mml="http://www.w3.org/1998/Math/MathML">
        <m:sSub>
          <m:e>
            <m:r>
              <m:t>J</m:t>
            </m:r>
          </m:e>
          <m:sub>
            <m:r>
              <m:t>F</m:t>
            </m:r>
          </m:sub>
        </m:sSub>
        <m:r>
          <m:t>=1.0×</m:t>
        </m:r>
        <m:sSup>
          <m:e>
            <m:r>
              <m:t>10</m:t>
            </m:r>
          </m:e>
          <m:sup>
            <m:r>
              <m:t>−3</m:t>
            </m:r>
          </m:sup>
        </m:sSup>
      </m:oMath>
      <w:r>
        <w:rPr>
          <w:rFonts w:ascii="Times New Roman" w:hAnsi="Times New Roman" w:eastAsia="SimSun"/>
          <w:b w:val="0"/>
          <w:sz w:val="21"/>
        </w:rPr>
        <w:t xml:space="preserve"> A/cm^2。随后从该正向电流状态切换至 -1.0 V。由于反向恢复测试通常以给定正向电流作为初始条件，固定电流协议更适合比较不同寿命下的恢复特性。</w:t>
      </w:r>
    </w:p>
    <w:p>
      <w:pPr>
        <w:spacing w:line="360" w:lineRule="auto"/>
        <w:ind w:firstLine="403"/>
      </w:pPr>
      <w:r>
        <w:rPr>
          <w:rFonts w:ascii="Times New Roman" w:hAnsi="Times New Roman" w:eastAsia="SimSun"/>
          <w:b w:val="0"/>
          <w:sz w:val="21"/>
        </w:rPr>
        <w:t xml:space="preserve">需要说明的是，本文的一维模型并不对应真实封装器件横截面积。为避免将 DEVSIM 一维接触电流误解为实际器件额定电流，本文显式设定参考面积 </w:t>
      </w:r>
      <m:oMath xmlns:mml="http://www.w3.org/1998/Math/MathML">
        <m:r>
          <m:t>A=1.0</m:t>
        </m:r>
      </m:oMath>
      <w:r>
        <w:rPr>
          <w:rFonts w:ascii="Times New Roman" w:hAnsi="Times New Roman" w:eastAsia="SimSun"/>
          <w:b w:val="0"/>
          <w:sz w:val="21"/>
        </w:rPr>
        <w:t xml:space="preserve"> cm^2，并将主要电流和电荷结果报告为 </w:t>
      </w:r>
      <m:oMath xmlns:mml="http://www.w3.org/1998/Math/MathML">
        <m:r>
          <m:t>J=I/A</m:t>
        </m:r>
      </m:oMath>
      <w:r>
        <w:rPr>
          <w:rFonts w:ascii="Times New Roman" w:hAnsi="Times New Roman" w:eastAsia="SimSun"/>
          <w:b w:val="0"/>
          <w:sz w:val="21"/>
        </w:rPr>
        <w:t>、</w:t>
      </w:r>
      <m:oMath xmlns:mml="http://www.w3.org/1998/Math/MathML">
        <m:f>
          <m:fPr>
            <m:type m:val="lin"/>
          </m:fPr>
          <m:num>
            <m:r>
              <m:t>Q</m:t>
            </m:r>
          </m:num>
          <m:den>
            <m:r>
              <m:t>A</m:t>
            </m:r>
          </m:den>
        </m:f>
      </m:oMath>
      <w:r>
        <w:rPr>
          <w:rFonts w:ascii="Times New Roman" w:hAnsi="Times New Roman" w:eastAsia="SimSun"/>
          <w:b w:val="0"/>
          <w:sz w:val="21"/>
        </w:rPr>
        <w:t xml:space="preserve"> 与 </w:t>
      </w:r>
      <m:oMath xmlns:mml="http://www.w3.org/1998/Math/MathML">
        <m:f>
          <m:fPr>
            <m:type m:val="lin"/>
          </m:fPr>
          <m:num>
            <m:sSub>
              <m:e>
                <m:r>
                  <m:t>Q</m:t>
                </m:r>
              </m:e>
              <m:sub>
                <m:r>
                  <m:t>stored</m:t>
                </m:r>
              </m:sub>
            </m:sSub>
          </m:num>
          <m:den>
            <m:r>
              <m:t>A</m:t>
            </m:r>
          </m:den>
        </m:f>
      </m:oMath>
      <w:r>
        <w:rPr>
          <w:rFonts w:ascii="Times New Roman" w:hAnsi="Times New Roman" w:eastAsia="SimSun"/>
          <w:b w:val="0"/>
          <w:sz w:val="21"/>
        </w:rPr>
        <w:t>。参考面积只用于统一量纲和便于比较，不代表某个特定商业器件的芯片面积。</w:t>
      </w:r>
    </w:p>
    <w:p>
      <w:pPr>
        <w:spacing w:line="360" w:lineRule="auto"/>
      </w:pPr>
      <w:r>
        <w:rPr>
          <w:rFonts w:ascii="Times New Roman" w:hAnsi="Times New Roman" w:eastAsia="SimSun"/>
          <w:b/>
          <w:sz w:val="24"/>
        </w:rPr>
        <w:t>2.4 指标提取方法</w:t>
      </w:r>
    </w:p>
    <w:p>
      <w:pPr>
        <w:spacing w:line="360" w:lineRule="auto"/>
        <w:ind w:firstLine="403"/>
      </w:pPr>
      <w:r>
        <w:rPr>
          <w:rFonts w:ascii="Times New Roman" w:hAnsi="Times New Roman" w:eastAsia="SimSun"/>
          <w:b w:val="0"/>
          <w:sz w:val="21"/>
        </w:rPr>
        <w:t xml:space="preserve">本文采用正向电流为正、反向恢复电流为负的符号约定。反向阶跃后的终端电流记为 </w:t>
      </w:r>
      <m:oMath xmlns:mml="http://www.w3.org/1998/Math/MathML">
        <m:r>
          <m:t>I(t)</m:t>
        </m:r>
      </m:oMath>
      <w:r>
        <w:rPr>
          <w:rFonts w:ascii="Times New Roman" w:hAnsi="Times New Roman" w:eastAsia="SimSun"/>
          <w:b w:val="0"/>
          <w:sz w:val="21"/>
        </w:rPr>
        <w:t>。最大反向恢复电流定义为</w:t>
      </w:r>
    </w:p>
    <w:p>
      <w:pPr>
        <w:jc w:val="center"/>
      </w:pPr>
      <m:oMath xmlns:mml="http://www.w3.org/1998/Math/MathML">
        <m:sSub>
          <m:e>
            <m:r>
              <m:t>I</m:t>
            </m:r>
          </m:e>
          <m:sub>
            <m:r>
              <m:t>rrm</m:t>
            </m:r>
          </m:sub>
        </m:sSub>
        <m:r>
          <m:t>=</m:t>
        </m:r>
        <m:sSub>
          <m:e>
            <m:r>
              <m:t>max</m:t>
            </m:r>
          </m:e>
          <m:sub>
            <m:r>
              <m:t>t≥0</m:t>
            </m:r>
          </m:sub>
        </m:sSub>
        <m:r>
          <m:t>{−I(t),0}.</m:t>
        </m:r>
      </m:oMath>
    </w:p>
    <w:p>
      <w:pPr>
        <w:spacing w:line="360" w:lineRule="auto"/>
        <w:ind w:firstLine="403"/>
      </w:pPr>
      <w:r>
        <w:rPr>
          <w:rFonts w:ascii="Times New Roman" w:hAnsi="Times New Roman" w:eastAsia="SimSun"/>
          <w:b w:val="0"/>
          <w:sz w:val="21"/>
        </w:rPr>
        <w:t xml:space="preserve">以峰值反向电流后的首次恢复至 </w:t>
      </w:r>
      <m:oMath xmlns:mml="http://www.w3.org/1998/Math/MathML">
        <m:r>
          <m:t>0.1</m:t>
        </m:r>
        <m:sSub>
          <m:e>
            <m:r>
              <m:t>I</m:t>
            </m:r>
          </m:e>
          <m:sub>
            <m:r>
              <m:t>rrm</m:t>
            </m:r>
          </m:sub>
        </m:sSub>
      </m:oMath>
      <w:r>
        <w:rPr>
          <w:rFonts w:ascii="Times New Roman" w:hAnsi="Times New Roman" w:eastAsia="SimSun"/>
          <w:b w:val="0"/>
          <w:sz w:val="21"/>
        </w:rPr>
        <w:t xml:space="preserve"> 为恢复结束条件，即当</w:t>
      </w:r>
    </w:p>
    <w:p>
      <w:pPr>
        <w:jc w:val="center"/>
      </w:pPr>
      <m:oMath xmlns:mml="http://www.w3.org/1998/Math/MathML">
        <m:r>
          <m:t>I(t)≥−0.1</m:t>
        </m:r>
        <m:sSub>
          <m:e>
            <m:r>
              <m:t>I</m:t>
            </m:r>
          </m:e>
          <m:sub>
            <m:r>
              <m:t>rrm</m:t>
            </m:r>
          </m:sub>
        </m:sSub>
      </m:oMath>
    </w:p>
    <w:p>
      <w:pPr>
        <w:spacing w:line="360" w:lineRule="auto"/>
        <w:ind w:firstLine="403"/>
      </w:pPr>
      <w:r>
        <w:rPr>
          <w:rFonts w:ascii="Times New Roman" w:hAnsi="Times New Roman" w:eastAsia="SimSun"/>
          <w:b w:val="0"/>
          <w:sz w:val="21"/>
        </w:rPr>
        <w:t xml:space="preserve">首次满足时记为 </w:t>
      </w:r>
      <m:oMath xmlns:mml="http://www.w3.org/1998/Math/MathML">
        <m:sSub>
          <m:e>
            <m:r>
              <m:t>t</m:t>
            </m:r>
          </m:e>
          <m:sub>
            <m:r>
              <m:t>end</m:t>
            </m:r>
          </m:sub>
        </m:sSub>
      </m:oMath>
      <w:r>
        <w:rPr>
          <w:rFonts w:ascii="Times New Roman" w:hAnsi="Times New Roman" w:eastAsia="SimSun"/>
          <w:b w:val="0"/>
          <w:sz w:val="21"/>
        </w:rPr>
        <w:t>。反向恢复时间定义为</w:t>
      </w:r>
    </w:p>
    <w:p>
      <w:pPr>
        <w:jc w:val="center"/>
      </w:pPr>
      <m:oMath xmlns:mml="http://www.w3.org/1998/Math/MathML">
        <m:sSub>
          <m:e>
            <m:r>
              <m:t>t</m:t>
            </m:r>
          </m:e>
          <m:sub>
            <m:r>
              <m:t>rr</m:t>
            </m:r>
          </m:sub>
        </m:sSub>
        <m:r>
          <m:t>=</m:t>
        </m:r>
        <m:sSub>
          <m:e>
            <m:r>
              <m:t>t</m:t>
            </m:r>
          </m:e>
          <m:sub>
            <m:r>
              <m:t>end</m:t>
            </m:r>
          </m:sub>
        </m:sSub>
        <m:r>
          <m:t>−</m:t>
        </m:r>
        <m:sSub>
          <m:e>
            <m:r>
              <m:t>t</m:t>
            </m:r>
          </m:e>
          <m:sub>
            <m:r>
              <m:t>0</m:t>
            </m:r>
          </m:sub>
        </m:sSub>
        <m:r>
          <m:t>.</m:t>
        </m:r>
      </m:oMath>
    </w:p>
    <w:p>
      <w:pPr>
        <w:spacing w:line="360" w:lineRule="auto"/>
        <w:ind w:firstLine="403"/>
      </w:pPr>
      <w:r>
        <w:rPr>
          <w:rFonts w:ascii="Times New Roman" w:hAnsi="Times New Roman" w:eastAsia="SimSun"/>
          <w:b w:val="0"/>
          <w:sz w:val="21"/>
        </w:rPr>
        <w:t>反向恢复电荷定义为恢复区间内反向电流幅值积分：</w:t>
      </w:r>
    </w:p>
    <w:p>
      <w:pPr>
        <w:jc w:val="center"/>
      </w:pPr>
      <m:oMath xmlns:mml="http://www.w3.org/1998/Math/MathML">
        <m:sSub>
          <m:e>
            <m:r>
              <m:t>Q</m:t>
            </m:r>
          </m:e>
          <m:sub>
            <m:r>
              <m:t>rr</m:t>
            </m:r>
          </m:sub>
        </m:sSub>
        <m:r>
          <m:t>=</m:t>
        </m:r>
        <m:nary>
          <m:naryPr>
            <m:chr m:val="∫"/>
            <m:limLoc m:val="subSup"/>
            <m:grow m:val="1"/>
            <m:subHide m:val="off"/>
            <m:supHide m:val="off"/>
          </m:naryPr>
          <m:sub>
            <m:sSub>
              <m:e>
                <m:r>
                  <m:t>t</m:t>
                </m:r>
              </m:e>
              <m:sub>
                <m:r>
                  <m:t>0</m:t>
                </m:r>
              </m:sub>
            </m:sSub>
          </m:sub>
          <m:sup>
            <m:sSub>
              <m:e>
                <m:r>
                  <m:t>t</m:t>
                </m:r>
              </m:e>
              <m:sub>
                <m:r>
                  <m:t>end</m:t>
                </m:r>
              </m:sub>
            </m:sSub>
          </m:sup>
          <m:e/>
        </m:nary>
        <m:r>
          <m:t>max{−I(t),0}dt.</m:t>
        </m:r>
      </m:oMath>
    </w:p>
    <w:p>
      <w:pPr>
        <w:spacing w:line="360" w:lineRule="auto"/>
        <w:ind w:firstLine="403"/>
      </w:pPr>
      <w:r>
        <w:rPr>
          <w:rFonts w:ascii="Times New Roman" w:hAnsi="Times New Roman" w:eastAsia="SimSun"/>
          <w:b w:val="0"/>
          <w:sz w:val="21"/>
        </w:rPr>
        <w:t>为检查终端恢复电荷与器件内部存储状态是否具有一致趋势，本文定义正向预偏置后相对 0 V 平衡态的存储移动电荷</w:t>
      </w:r>
    </w:p>
    <w:p>
      <w:pPr>
        <w:jc w:val="center"/>
      </w:pPr>
      <m:oMath xmlns:mml="http://www.w3.org/1998/Math/MathML">
        <m:sSub>
          <m:e>
            <m:r>
              <m:t>Q</m:t>
            </m:r>
          </m:e>
          <m:sub>
            <m:r>
              <m:t>stored</m:t>
            </m:r>
          </m:sub>
        </m:sSub>
        <m:r>
          <m:t>=q</m:t>
        </m:r>
        <m:nary>
          <m:naryPr>
            <m:chr m:val="∑"/>
            <m:limLoc m:val="subSup"/>
            <m:grow m:val="1"/>
            <m:subHide m:val="off"/>
            <m:supHide m:val="on"/>
          </m:naryPr>
          <m:sub>
            <m:r>
              <m:t>i</m:t>
            </m:r>
          </m:sub>
          <m:sup/>
          <m:e/>
        </m:nary>
        <m:r>
          <m:t>[max(</m:t>
        </m:r>
        <m:sSub>
          <m:e>
            <m:r>
              <m:t>n</m:t>
            </m:r>
          </m:e>
          <m:sub>
            <m:r>
              <m:t>i</m:t>
            </m:r>
          </m:sub>
        </m:sSub>
        <m:r>
          <m:t>−</m:t>
        </m:r>
        <m:sSub>
          <m:e>
            <m:r>
              <m:t>n</m:t>
            </m:r>
          </m:e>
          <m:sub>
            <m:r>
              <m:t>i0</m:t>
            </m:r>
          </m:sub>
        </m:sSub>
        <m:r>
          <m:t>,0)+max(</m:t>
        </m:r>
        <m:sSub>
          <m:e>
            <m:r>
              <m:t>p</m:t>
            </m:r>
          </m:e>
          <m:sub>
            <m:r>
              <m:t>i</m:t>
            </m:r>
          </m:sub>
        </m:sSub>
        <m:r>
          <m:t>−</m:t>
        </m:r>
        <m:sSub>
          <m:e>
            <m:r>
              <m:t>p</m:t>
            </m:r>
          </m:e>
          <m:sub>
            <m:r>
              <m:t>i0</m:t>
            </m:r>
          </m:sub>
        </m:sSub>
        <m:r>
          <m:t>,0)]</m:t>
        </m:r>
        <m:sSub>
          <m:e>
            <m:r>
              <m:t>V</m:t>
            </m:r>
          </m:e>
          <m:sub>
            <m:r>
              <m:t>i</m:t>
            </m:r>
          </m:sub>
        </m:sSub>
        <m:r>
          <m:t>,</m:t>
        </m:r>
      </m:oMath>
    </w:p>
    <w:p>
      <w:pPr>
        <w:spacing w:line="360" w:lineRule="auto"/>
        <w:ind w:firstLine="403"/>
      </w:pPr>
      <w:r>
        <w:rPr>
          <w:rFonts w:ascii="Times New Roman" w:hAnsi="Times New Roman" w:eastAsia="SimSun"/>
          <w:b w:val="0"/>
          <w:sz w:val="21"/>
        </w:rPr>
        <w:t xml:space="preserve">其中 </w:t>
      </w:r>
      <m:oMath xmlns:mml="http://www.w3.org/1998/Math/MathML">
        <m:sSub>
          <m:e>
            <m:r>
              <m:t>n</m:t>
            </m:r>
          </m:e>
          <m:sub>
            <m:r>
              <m:t>i</m:t>
            </m:r>
          </m:sub>
        </m:sSub>
      </m:oMath>
      <w:r>
        <w:rPr>
          <w:rFonts w:ascii="Times New Roman" w:hAnsi="Times New Roman" w:eastAsia="SimSun"/>
          <w:b w:val="0"/>
          <w:sz w:val="21"/>
        </w:rPr>
        <w:t xml:space="preserve"> 和 </w:t>
      </w:r>
      <m:oMath xmlns:mml="http://www.w3.org/1998/Math/MathML">
        <m:sSub>
          <m:e>
            <m:r>
              <m:t>p</m:t>
            </m:r>
          </m:e>
          <m:sub>
            <m:r>
              <m:t>i</m:t>
            </m:r>
          </m:sub>
        </m:sSub>
      </m:oMath>
      <w:r>
        <w:rPr>
          <w:rFonts w:ascii="Times New Roman" w:hAnsi="Times New Roman" w:eastAsia="SimSun"/>
          <w:b w:val="0"/>
          <w:sz w:val="21"/>
        </w:rPr>
        <w:t xml:space="preserve"> 为正向预偏置后的节点载流子浓度，</w:t>
      </w:r>
      <m:oMath xmlns:mml="http://www.w3.org/1998/Math/MathML">
        <m:sSub>
          <m:e>
            <m:r>
              <m:t>n</m:t>
            </m:r>
          </m:e>
          <m:sub>
            <m:r>
              <m:t>i0</m:t>
            </m:r>
          </m:sub>
        </m:sSub>
      </m:oMath>
      <w:r>
        <w:rPr>
          <w:rFonts w:ascii="Times New Roman" w:hAnsi="Times New Roman" w:eastAsia="SimSun"/>
          <w:b w:val="0"/>
          <w:sz w:val="21"/>
        </w:rPr>
        <w:t xml:space="preserve"> 和 </w:t>
      </w:r>
      <m:oMath xmlns:mml="http://www.w3.org/1998/Math/MathML">
        <m:sSub>
          <m:e>
            <m:r>
              <m:t>p</m:t>
            </m:r>
          </m:e>
          <m:sub>
            <m:r>
              <m:t>i0</m:t>
            </m:r>
          </m:sub>
        </m:sSub>
      </m:oMath>
      <w:r>
        <w:rPr>
          <w:rFonts w:ascii="Times New Roman" w:hAnsi="Times New Roman" w:eastAsia="SimSun"/>
          <w:b w:val="0"/>
          <w:sz w:val="21"/>
        </w:rPr>
        <w:t xml:space="preserve"> 为平衡态浓度，</w:t>
      </w:r>
      <m:oMath xmlns:mml="http://www.w3.org/1998/Math/MathML">
        <m:sSub>
          <m:e>
            <m:r>
              <m:t>V</m:t>
            </m:r>
          </m:e>
          <m:sub>
            <m:r>
              <m:t>i</m:t>
            </m:r>
          </m:sub>
        </m:sSub>
      </m:oMath>
      <w:r>
        <w:rPr>
          <w:rFonts w:ascii="Times New Roman" w:hAnsi="Times New Roman" w:eastAsia="SimSun"/>
          <w:b w:val="0"/>
          <w:sz w:val="21"/>
        </w:rPr>
        <w:t xml:space="preserve"> 为节点控制体积。</w:t>
      </w:r>
      <m:oMath xmlns:mml="http://www.w3.org/1998/Math/MathML">
        <m:sSub>
          <m:e>
            <m:r>
              <m:t>Q</m:t>
            </m:r>
          </m:e>
          <m:sub>
            <m:r>
              <m:t>stored</m:t>
            </m:r>
          </m:sub>
        </m:sSub>
      </m:oMath>
      <w:r>
        <w:rPr>
          <w:rFonts w:ascii="Times New Roman" w:hAnsi="Times New Roman" w:eastAsia="SimSun"/>
          <w:b w:val="0"/>
          <w:sz w:val="21"/>
        </w:rPr>
        <w:t xml:space="preserve"> 是内部载流子存储诊断量，并不要求与端口积分电荷 </w:t>
      </w:r>
      <m:oMath xmlns:mml="http://www.w3.org/1998/Math/MathML">
        <m:sSub>
          <m:e>
            <m:r>
              <m:t>Q</m:t>
            </m:r>
          </m:e>
          <m:sub>
            <m:r>
              <m:t>rr</m:t>
            </m:r>
          </m:sub>
        </m:sSub>
      </m:oMath>
      <w:r>
        <w:rPr>
          <w:rFonts w:ascii="Times New Roman" w:hAnsi="Times New Roman" w:eastAsia="SimSun"/>
          <w:b w:val="0"/>
          <w:sz w:val="21"/>
        </w:rPr>
        <w:t xml:space="preserve"> 严格相等。</w:t>
      </w:r>
    </w:p>
    <w:p>
      <w:pPr>
        <w:spacing w:line="360" w:lineRule="auto"/>
      </w:pPr>
      <w:r>
        <w:rPr>
          <w:rFonts w:ascii="Times New Roman" w:hAnsi="Times New Roman" w:eastAsia="SimSun"/>
          <w:b/>
          <w:sz w:val="28"/>
        </w:rPr>
        <w:t>3 结果与讨论</w:t>
      </w:r>
    </w:p>
    <w:p>
      <w:pPr>
        <w:spacing w:line="360" w:lineRule="auto"/>
      </w:pPr>
      <w:r>
        <w:rPr>
          <w:rFonts w:ascii="Times New Roman" w:hAnsi="Times New Roman" w:eastAsia="SimSun"/>
          <w:b/>
          <w:sz w:val="24"/>
        </w:rPr>
        <w:t>3.1 DC 特性与目标正向电流</w:t>
      </w:r>
    </w:p>
    <w:p>
      <w:pPr>
        <w:spacing w:line="360" w:lineRule="auto"/>
        <w:ind w:firstLine="403"/>
      </w:pPr>
      <w:r>
        <w:rPr>
          <w:rFonts w:ascii="Times New Roman" w:hAnsi="Times New Roman" w:eastAsia="SimSun"/>
          <w:b w:val="0"/>
          <w:sz w:val="21"/>
        </w:rPr>
        <w:t xml:space="preserve">图1给出了寿命 </w:t>
      </w:r>
      <m:oMath xmlns:mml="http://www.w3.org/1998/Math/MathML">
        <m:r>
          <m:t>τ=1.0×</m:t>
        </m:r>
        <m:sSup>
          <m:e>
            <m:r>
              <m:t>10</m:t>
            </m:r>
          </m:e>
          <m:sup>
            <m:r>
              <m:t>−6</m:t>
            </m:r>
          </m:sup>
        </m:sSup>
      </m:oMath>
      <w:r>
        <w:rPr>
          <w:rFonts w:ascii="Times New Roman" w:hAnsi="Times New Roman" w:eastAsia="SimSun"/>
          <w:b w:val="0"/>
          <w:sz w:val="21"/>
        </w:rPr>
        <w:t xml:space="preserve"> s 时基准 PIN 二极管的 DC I-V 曲线。以 </w:t>
      </w:r>
      <m:oMath xmlns:mml="http://www.w3.org/1998/Math/MathML">
        <m:sSub>
          <m:e>
            <m:r>
              <m:t>J</m:t>
            </m:r>
          </m:e>
          <m:sub>
            <m:r>
              <m:t>F</m:t>
            </m:r>
          </m:sub>
        </m:sSub>
        <m:r>
          <m:t>=1.0×</m:t>
        </m:r>
        <m:sSup>
          <m:e>
            <m:r>
              <m:t>10</m:t>
            </m:r>
          </m:e>
          <m:sup>
            <m:r>
              <m:t>−3</m:t>
            </m:r>
          </m:sup>
        </m:sSup>
      </m:oMath>
      <w:r>
        <w:rPr>
          <w:rFonts w:ascii="Times New Roman" w:hAnsi="Times New Roman" w:eastAsia="SimSun"/>
          <w:b w:val="0"/>
          <w:sz w:val="21"/>
        </w:rPr>
        <w:t xml:space="preserve"> A/cm^2 为目标正向电流密度，DC 插值得到的正向电压约为 0.415 V；在瞬态脚本中进一步通过二分搜索得到的预偏置电压为 0.4257 V，对应实际正向电流密度约为 </w:t>
      </w:r>
      <m:oMath xmlns:mml="http://www.w3.org/1998/Math/MathML">
        <m:r>
          <m:t>1.000×</m:t>
        </m:r>
        <m:sSup>
          <m:e>
            <m:r>
              <m:t>10</m:t>
            </m:r>
          </m:e>
          <m:sup>
            <m:r>
              <m:t>−3</m:t>
            </m:r>
          </m:sup>
        </m:sSup>
      </m:oMath>
      <w:r>
        <w:rPr>
          <w:rFonts w:ascii="Times New Roman" w:hAnsi="Times New Roman" w:eastAsia="SimSun"/>
          <w:b w:val="0"/>
          <w:sz w:val="21"/>
        </w:rPr>
        <w:t xml:space="preserve"> A/cm^2。该步骤保证不同寿命点可从相同正向电流密度条件出发，有利于比较载流子寿命对存储电荷和反向恢复电荷的影响。</w:t>
      </w:r>
    </w:p>
    <w:p>
      <w:pPr>
        <w:jc w:val="center"/>
      </w:pPr>
      <w:r>
        <w:drawing>
          <wp:inline xmlns:a="http://schemas.openxmlformats.org/drawingml/2006/main" xmlns:pic="http://schemas.openxmlformats.org/drawingml/2006/picture">
            <wp:extent cx="5303520" cy="4021176"/>
            <wp:docPr id="1" name="Picture 1"/>
            <wp:cNvGraphicFramePr>
              <a:graphicFrameLocks noChangeAspect="1"/>
            </wp:cNvGraphicFramePr>
            <a:graphic>
              <a:graphicData uri="http://schemas.openxmlformats.org/drawingml/2006/picture">
                <pic:pic>
                  <pic:nvPicPr>
                    <pic:cNvPr id="0" name="fig_pub_dc_iv.png"/>
                    <pic:cNvPicPr/>
                  </pic:nvPicPr>
                  <pic:blipFill>
                    <a:blip r:embed="rId9"/>
                    <a:stretch>
                      <a:fillRect/>
                    </a:stretch>
                  </pic:blipFill>
                  <pic:spPr>
                    <a:xfrm>
                      <a:off x="0" y="0"/>
                      <a:ext cx="5303520" cy="4021176"/>
                    </a:xfrm>
                    <a:prstGeom prst="rect"/>
                  </pic:spPr>
                </pic:pic>
              </a:graphicData>
            </a:graphic>
          </wp:inline>
        </w:drawing>
      </w:r>
    </w:p>
    <w:p>
      <w:pPr>
        <w:spacing w:line="360" w:lineRule="auto"/>
        <w:jc w:val="center"/>
      </w:pPr>
      <w:r>
        <w:rPr>
          <w:rFonts w:ascii="Times New Roman" w:hAnsi="Times New Roman" w:eastAsia="SimSun"/>
          <w:b w:val="0"/>
          <w:sz w:val="21"/>
        </w:rPr>
        <w:t>图1  基准 PIN 二极管 DC I-V 曲线与目标电流工作点</w:t>
      </w:r>
    </w:p>
    <w:p>
      <w:pPr>
        <w:spacing w:line="360" w:lineRule="auto"/>
      </w:pPr>
      <w:r>
        <w:rPr>
          <w:rFonts w:ascii="Times New Roman" w:hAnsi="Times New Roman" w:eastAsia="SimSun"/>
          <w:b/>
          <w:sz w:val="24"/>
        </w:rPr>
        <w:t>3.2 载流子寿命对反向恢复指标的影响</w:t>
      </w:r>
    </w:p>
    <w:p>
      <w:pPr>
        <w:spacing w:line="360" w:lineRule="auto"/>
        <w:ind w:firstLine="403"/>
      </w:pPr>
      <w:r>
        <w:rPr>
          <w:rFonts w:ascii="Times New Roman" w:hAnsi="Times New Roman" w:eastAsia="SimSun"/>
          <w:b w:val="0"/>
          <w:sz w:val="21"/>
        </w:rPr>
        <w:t xml:space="preserve">固定正向电压协议下，预偏置电压为 0.8 V。寿命从 </w:t>
      </w:r>
      <m:oMath xmlns:mml="http://www.w3.org/1998/Math/MathML">
        <m:r>
          <m:t>1.0×</m:t>
        </m:r>
        <m:sSup>
          <m:e>
            <m:r>
              <m:t>10</m:t>
            </m:r>
          </m:e>
          <m:sup>
            <m:r>
              <m:t>−8</m:t>
            </m:r>
          </m:sup>
        </m:sSup>
      </m:oMath>
      <w:r>
        <w:rPr>
          <w:rFonts w:ascii="Times New Roman" w:hAnsi="Times New Roman" w:eastAsia="SimSun"/>
          <w:b w:val="0"/>
          <w:sz w:val="21"/>
        </w:rPr>
        <w:t xml:space="preserve"> s 增加到 </w:t>
      </w:r>
      <m:oMath xmlns:mml="http://www.w3.org/1998/Math/MathML">
        <m:r>
          <m:t>1.0×</m:t>
        </m:r>
        <m:sSup>
          <m:e>
            <m:r>
              <m:t>10</m:t>
            </m:r>
          </m:e>
          <m:sup>
            <m:r>
              <m:t>−5</m:t>
            </m:r>
          </m:sup>
        </m:sSup>
      </m:oMath>
      <w:r>
        <w:rPr>
          <w:rFonts w:ascii="Times New Roman" w:hAnsi="Times New Roman" w:eastAsia="SimSun"/>
          <w:b w:val="0"/>
          <w:sz w:val="21"/>
        </w:rPr>
        <w:t xml:space="preserve"> s 时，</w:t>
      </w:r>
      <m:oMath xmlns:mml="http://www.w3.org/1998/Math/MathML">
        <m:f>
          <m:fPr>
            <m:type m:val="lin"/>
          </m:fPr>
          <m:num>
            <m:sSub>
              <m:e>
                <m:r>
                  <m:t>Q</m:t>
                </m:r>
              </m:e>
              <m:sub>
                <m:r>
                  <m:t>rr</m:t>
                </m:r>
              </m:sub>
            </m:sSub>
          </m:num>
          <m:den>
            <m:r>
              <m:t>A</m:t>
            </m:r>
          </m:den>
        </m:f>
      </m:oMath>
      <w:r>
        <w:rPr>
          <w:rFonts w:ascii="Times New Roman" w:hAnsi="Times New Roman" w:eastAsia="SimSun"/>
          <w:b w:val="0"/>
          <w:sz w:val="21"/>
        </w:rPr>
        <w:t xml:space="preserve"> 从 </w:t>
      </w:r>
      <m:oMath xmlns:mml="http://www.w3.org/1998/Math/MathML">
        <m:r>
          <m:t>4.200×</m:t>
        </m:r>
        <m:sSup>
          <m:e>
            <m:r>
              <m:t>10</m:t>
            </m:r>
          </m:e>
          <m:sup>
            <m:r>
              <m:t>−7</m:t>
            </m:r>
          </m:sup>
        </m:sSup>
      </m:oMath>
      <w:r>
        <w:rPr>
          <w:rFonts w:ascii="Times New Roman" w:hAnsi="Times New Roman" w:eastAsia="SimSun"/>
          <w:b w:val="0"/>
          <w:sz w:val="21"/>
        </w:rPr>
        <w:t xml:space="preserve"> C/cm^2 增至 </w:t>
      </w:r>
      <m:oMath xmlns:mml="http://www.w3.org/1998/Math/MathML">
        <m:r>
          <m:t>4.618×</m:t>
        </m:r>
        <m:sSup>
          <m:e>
            <m:r>
              <m:t>10</m:t>
            </m:r>
          </m:e>
          <m:sup>
            <m:r>
              <m:t>−7</m:t>
            </m:r>
          </m:sup>
        </m:sSup>
      </m:oMath>
      <w:r>
        <w:rPr>
          <w:rFonts w:ascii="Times New Roman" w:hAnsi="Times New Roman" w:eastAsia="SimSun"/>
          <w:b w:val="0"/>
          <w:sz w:val="21"/>
        </w:rPr>
        <w:t xml:space="preserve"> C/cm^2，</w:t>
      </w:r>
      <m:oMath xmlns:mml="http://www.w3.org/1998/Math/MathML">
        <m:f>
          <m:fPr>
            <m:type m:val="lin"/>
          </m:fPr>
          <m:num>
            <m:sSub>
              <m:e>
                <m:r>
                  <m:t>I</m:t>
                </m:r>
              </m:e>
              <m:sub>
                <m:r>
                  <m:t>rrm</m:t>
                </m:r>
              </m:sub>
            </m:sSub>
          </m:num>
          <m:den>
            <m:r>
              <m:t>A</m:t>
            </m:r>
          </m:den>
        </m:f>
      </m:oMath>
      <w:r>
        <w:rPr>
          <w:rFonts w:ascii="Times New Roman" w:hAnsi="Times New Roman" w:eastAsia="SimSun"/>
          <w:b w:val="0"/>
          <w:sz w:val="21"/>
        </w:rPr>
        <w:t xml:space="preserve"> 从 </w:t>
      </w:r>
      <m:oMath xmlns:mml="http://www.w3.org/1998/Math/MathML">
        <m:r>
          <m:t>4.120×</m:t>
        </m:r>
        <m:sSup>
          <m:e>
            <m:r>
              <m:t>10</m:t>
            </m:r>
          </m:e>
          <m:sup>
            <m:r>
              <m:t>2</m:t>
            </m:r>
          </m:sup>
        </m:sSup>
      </m:oMath>
      <w:r>
        <w:rPr>
          <w:rFonts w:ascii="Times New Roman" w:hAnsi="Times New Roman" w:eastAsia="SimSun"/>
          <w:b w:val="0"/>
          <w:sz w:val="21"/>
        </w:rPr>
        <w:t xml:space="preserve"> A/cm^2 增至 </w:t>
      </w:r>
      <m:oMath xmlns:mml="http://www.w3.org/1998/Math/MathML">
        <m:r>
          <m:t>4.528×</m:t>
        </m:r>
        <m:sSup>
          <m:e>
            <m:r>
              <m:t>10</m:t>
            </m:r>
          </m:e>
          <m:sup>
            <m:r>
              <m:t>2</m:t>
            </m:r>
          </m:sup>
        </m:sSup>
      </m:oMath>
      <w:r>
        <w:rPr>
          <w:rFonts w:ascii="Times New Roman" w:hAnsi="Times New Roman" w:eastAsia="SimSun"/>
          <w:b w:val="0"/>
          <w:sz w:val="21"/>
        </w:rPr>
        <w:t xml:space="preserve"> A/cm^2。该协议下恢复电流密度较大，适合检查数值求解稳定性；但由于各寿命点使用同一正向电压，不同寿命对应的注入状态并不一定具有相同正向电流背景。</w:t>
      </w:r>
    </w:p>
    <w:p>
      <w:pPr>
        <w:spacing w:line="360" w:lineRule="auto"/>
        <w:ind w:firstLine="403"/>
      </w:pPr>
      <w:r>
        <w:rPr>
          <w:rFonts w:ascii="Times New Roman" w:hAnsi="Times New Roman" w:eastAsia="SimSun"/>
          <w:b w:val="0"/>
          <w:sz w:val="21"/>
        </w:rPr>
        <w:t xml:space="preserve">固定目标电流协议下，各寿命点均由约 </w:t>
      </w:r>
      <m:oMath xmlns:mml="http://www.w3.org/1998/Math/MathML">
        <m:r>
          <m:t>1.0×</m:t>
        </m:r>
        <m:sSup>
          <m:e>
            <m:r>
              <m:t>10</m:t>
            </m:r>
          </m:e>
          <m:sup>
            <m:r>
              <m:t>−3</m:t>
            </m:r>
          </m:sup>
        </m:sSup>
      </m:oMath>
      <w:r>
        <w:rPr>
          <w:rFonts w:ascii="Times New Roman" w:hAnsi="Times New Roman" w:eastAsia="SimSun"/>
          <w:b w:val="0"/>
          <w:sz w:val="21"/>
        </w:rPr>
        <w:t xml:space="preserve"> A/cm^2 的正向电流密度切换至反向偏置。表2列出了寿命扫描结果。</w:t>
      </w:r>
    </w:p>
    <w:p>
      <w:pPr>
        <w:spacing w:line="360" w:lineRule="auto"/>
        <w:ind w:firstLine="403"/>
      </w:pPr>
      <w:r>
        <w:rPr>
          <w:rFonts w:ascii="Times New Roman" w:hAnsi="Times New Roman" w:eastAsia="SimSun"/>
          <w:b w:val="0"/>
          <w:sz w:val="21"/>
        </w:rPr>
        <w:t>表2  固定目标电流协议下的寿命扫描结果</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
              <w:rPr>
                <w:rFonts w:ascii="Times New Roman" w:hAnsi="Times New Roman" w:eastAsia="SimSun"/>
                <w:b/>
                <w:sz w:val="21"/>
              </w:rPr>
              <w:t xml:space="preserve">寿命 </w:t>
            </w:r>
            <m:oMath xmlns:mml="http://www.w3.org/1998/Math/MathML">
              <m:r>
                <m:t>τ</m:t>
              </m:r>
            </m:oMath>
            <w:r>
              <w:rPr>
                <w:rFonts w:ascii="Times New Roman" w:hAnsi="Times New Roman" w:eastAsia="SimSun"/>
                <w:b/>
                <w:sz w:val="21"/>
              </w:rPr>
              <w:t xml:space="preserve"> / s</w:t>
            </w:r>
          </w:p>
        </w:tc>
        <w:tc>
          <w:tcPr>
            <w:tcW w:type="dxa" w:w="1385"/>
          </w:tcPr>
          <w:p>
            <w:pPr>
              <w:jc w:val="center"/>
            </w:pPr>
            <w:r/>
            <m:oMath xmlns:mml="http://www.w3.org/1998/Math/MathML">
              <m:sSub>
                <m:e>
                  <m:r>
                    <m:t>V</m:t>
                  </m:r>
                </m:e>
                <m:sub>
                  <m:r>
                    <m:t>F</m:t>
                  </m:r>
                </m:sub>
              </m:sSub>
            </m:oMath>
            <w:r>
              <w:rPr>
                <w:rFonts w:ascii="Times New Roman" w:hAnsi="Times New Roman" w:eastAsia="SimSun"/>
                <w:b/>
                <w:sz w:val="21"/>
              </w:rPr>
              <w:t xml:space="preserve"> / V</w:t>
            </w:r>
          </w:p>
        </w:tc>
        <w:tc>
          <w:tcPr>
            <w:tcW w:type="dxa" w:w="1385"/>
          </w:tcPr>
          <w:p>
            <w:pPr>
              <w:jc w:val="center"/>
            </w:pPr>
            <w:r/>
            <m:oMath xmlns:mml="http://www.w3.org/1998/Math/MathML">
              <m:sSub>
                <m:e>
                  <m:r>
                    <m:t>J</m:t>
                  </m:r>
                </m:e>
                <m:sub>
                  <m:r>
                    <m:t>F</m:t>
                  </m:r>
                </m:sub>
              </m:sSub>
            </m:oMath>
            <w:r>
              <w:rPr>
                <w:rFonts w:ascii="Times New Roman" w:hAnsi="Times New Roman" w:eastAsia="SimSun"/>
                <w:b/>
                <w:sz w:val="21"/>
              </w:rPr>
              <w:t xml:space="preserve"> / </w:t>
            </w:r>
            <m:oMath xmlns:mml="http://www.w3.org/1998/Math/MathML">
              <m:r>
                <m:t>A</m:t>
              </m:r>
              <m:r>
                <m:t>c</m:t>
              </m:r>
              <m:sSup>
                <m:e>
                  <m:r>
                    <m:t>m</m:t>
                  </m:r>
                </m:e>
                <m:sup>
                  <m:r>
                    <m:t>−2</m:t>
                  </m:r>
                </m:sup>
              </m:sSup>
            </m:oMath>
          </w:p>
        </w:tc>
        <w:tc>
          <w:tcPr>
            <w:tcW w:type="dxa" w:w="1385"/>
          </w:tcPr>
          <w:p>
            <w:pPr>
              <w:jc w:val="center"/>
            </w:pPr>
            <w:r/>
            <m:oMath xmlns:mml="http://www.w3.org/1998/Math/MathML">
              <m:f>
                <m:fPr>
                  <m:type m:val="lin"/>
                </m:fPr>
                <m:num>
                  <m:sSub>
                    <m:e>
                      <m:r>
                        <m:t>Q</m:t>
                      </m:r>
                    </m:e>
                    <m:sub>
                      <m:r>
                        <m:t>rr</m:t>
                      </m:r>
                    </m:sub>
                  </m:sSub>
                </m:num>
                <m:den>
                  <m:r>
                    <m:t>A</m:t>
                  </m:r>
                </m:den>
              </m:f>
            </m:oMath>
            <w:r>
              <w:rPr>
                <w:rFonts w:ascii="Times New Roman" w:hAnsi="Times New Roman" w:eastAsia="SimSun"/>
                <w:b/>
                <w:sz w:val="21"/>
              </w:rPr>
              <w:t xml:space="preserve"> / </w:t>
            </w:r>
            <m:oMath xmlns:mml="http://www.w3.org/1998/Math/MathML">
              <m:r>
                <m:t>C</m:t>
              </m:r>
              <m:r>
                <m:t>c</m:t>
              </m:r>
              <m:sSup>
                <m:e>
                  <m:r>
                    <m:t>m</m:t>
                  </m:r>
                </m:e>
                <m:sup>
                  <m:r>
                    <m:t>−2</m:t>
                  </m:r>
                </m:sup>
              </m:sSup>
            </m:oMath>
          </w:p>
        </w:tc>
        <w:tc>
          <w:tcPr>
            <w:tcW w:type="dxa" w:w="1385"/>
          </w:tcPr>
          <w:p>
            <w:pPr>
              <w:jc w:val="center"/>
            </w:pPr>
            <w:r/>
            <m:oMath xmlns:mml="http://www.w3.org/1998/Math/MathML">
              <m:f>
                <m:fPr>
                  <m:type m:val="lin"/>
                </m:fPr>
                <m:num>
                  <m:sSub>
                    <m:e>
                      <m:r>
                        <m:t>I</m:t>
                      </m:r>
                    </m:e>
                    <m:sub>
                      <m:r>
                        <m:t>rrm</m:t>
                      </m:r>
                    </m:sub>
                  </m:sSub>
                </m:num>
                <m:den>
                  <m:r>
                    <m:t>A</m:t>
                  </m:r>
                </m:den>
              </m:f>
            </m:oMath>
            <w:r>
              <w:rPr>
                <w:rFonts w:ascii="Times New Roman" w:hAnsi="Times New Roman" w:eastAsia="SimSun"/>
                <w:b/>
                <w:sz w:val="21"/>
              </w:rPr>
              <w:t xml:space="preserve"> / </w:t>
            </w:r>
            <m:oMath xmlns:mml="http://www.w3.org/1998/Math/MathML">
              <m:r>
                <m:t>A</m:t>
              </m:r>
              <m:r>
                <m:t>c</m:t>
              </m:r>
              <m:sSup>
                <m:e>
                  <m:r>
                    <m:t>m</m:t>
                  </m:r>
                </m:e>
                <m:sup>
                  <m:r>
                    <m:t>−2</m:t>
                  </m:r>
                </m:sup>
              </m:sSup>
            </m:oMath>
          </w:p>
        </w:tc>
        <w:tc>
          <w:tcPr>
            <w:tcW w:type="dxa" w:w="1385"/>
          </w:tcPr>
          <w:p>
            <w:pPr>
              <w:jc w:val="center"/>
            </w:pPr>
            <w:r/>
            <m:oMath xmlns:mml="http://www.w3.org/1998/Math/MathML">
              <m:f>
                <m:fPr>
                  <m:type m:val="lin"/>
                </m:fPr>
                <m:num>
                  <m:sSub>
                    <m:e>
                      <m:r>
                        <m:t>Q</m:t>
                      </m:r>
                    </m:e>
                    <m:sub>
                      <m:r>
                        <m:t>stored</m:t>
                      </m:r>
                    </m:sub>
                  </m:sSub>
                </m:num>
                <m:den>
                  <m:r>
                    <m:t>A</m:t>
                  </m:r>
                </m:den>
              </m:f>
            </m:oMath>
            <w:r>
              <w:rPr>
                <w:rFonts w:ascii="Times New Roman" w:hAnsi="Times New Roman" w:eastAsia="SimSun"/>
                <w:b/>
                <w:sz w:val="21"/>
              </w:rPr>
              <w:t xml:space="preserve"> / </w:t>
            </w:r>
            <m:oMath xmlns:mml="http://www.w3.org/1998/Math/MathML">
              <m:r>
                <m:t>C</m:t>
              </m:r>
              <m:r>
                <m:t>c</m:t>
              </m:r>
              <m:sSup>
                <m:e>
                  <m:r>
                    <m:t>m</m:t>
                  </m:r>
                </m:e>
                <m:sup>
                  <m:r>
                    <m:t>−2</m:t>
                  </m:r>
                </m:sup>
              </m:sSup>
            </m:oMath>
          </w:p>
        </w:tc>
      </w:tr>
      <w:tr>
        <w:tc>
          <w:tcPr>
            <w:tcW w:type="dxa" w:w="1385"/>
          </w:tcPr>
          <w:p>
            <w:pPr>
              <w:jc w:val="center"/>
            </w:pPr>
            <w:r/>
            <m:oMath xmlns:mml="http://www.w3.org/1998/Math/MathML">
              <m:r>
                <m:t>1.0×</m:t>
              </m:r>
              <m:sSup>
                <m:e>
                  <m:r>
                    <m:t>10</m:t>
                  </m:r>
                </m:e>
                <m:sup>
                  <m:r>
                    <m:t>−8</m:t>
                  </m:r>
                </m:sup>
              </m:sSup>
            </m:oMath>
          </w:p>
        </w:tc>
        <w:tc>
          <w:tcPr>
            <w:tcW w:type="dxa" w:w="1385"/>
          </w:tcPr>
          <w:p>
            <w:pPr>
              <w:jc w:val="center"/>
            </w:pPr>
            <w:r/>
            <w:r>
              <w:rPr>
                <w:rFonts w:ascii="Times New Roman" w:hAnsi="Times New Roman" w:eastAsia="SimSun"/>
                <w:b w:val="0"/>
                <w:sz w:val="21"/>
              </w:rPr>
              <w:t>0.2851</w:t>
            </w:r>
          </w:p>
        </w:tc>
        <w:tc>
          <w:tcPr>
            <w:tcW w:type="dxa" w:w="1385"/>
          </w:tcPr>
          <w:p>
            <w:pPr>
              <w:jc w:val="center"/>
            </w:pPr>
            <w:r/>
            <m:oMath xmlns:mml="http://www.w3.org/1998/Math/MathML">
              <m:r>
                <m:t>1.001×</m:t>
              </m:r>
              <m:sSup>
                <m:e>
                  <m:r>
                    <m:t>10</m:t>
                  </m:r>
                </m:e>
                <m:sup>
                  <m:r>
                    <m:t>−3</m:t>
                  </m:r>
                </m:sup>
              </m:sSup>
            </m:oMath>
          </w:p>
        </w:tc>
        <w:tc>
          <w:tcPr>
            <w:tcW w:type="dxa" w:w="1385"/>
          </w:tcPr>
          <w:p>
            <w:pPr>
              <w:jc w:val="center"/>
            </w:pPr>
            <w:r/>
            <m:oMath xmlns:mml="http://www.w3.org/1998/Math/MathML">
              <m:r>
                <m:t>3.495×</m:t>
              </m:r>
              <m:sSup>
                <m:e>
                  <m:r>
                    <m:t>10</m:t>
                  </m:r>
                </m:e>
                <m:sup>
                  <m:r>
                    <m:t>−9</m:t>
                  </m:r>
                </m:sup>
              </m:sSup>
            </m:oMath>
          </w:p>
        </w:tc>
        <w:tc>
          <w:tcPr>
            <w:tcW w:type="dxa" w:w="1385"/>
          </w:tcPr>
          <w:p>
            <w:pPr>
              <w:jc w:val="center"/>
            </w:pPr>
            <w:r/>
            <w:r>
              <w:rPr>
                <w:rFonts w:ascii="Times New Roman" w:hAnsi="Times New Roman" w:eastAsia="SimSun"/>
                <w:b w:val="0"/>
                <w:sz w:val="21"/>
              </w:rPr>
              <w:t>3.493</w:t>
            </w:r>
          </w:p>
        </w:tc>
        <w:tc>
          <w:tcPr>
            <w:tcW w:type="dxa" w:w="1385"/>
          </w:tcPr>
          <w:p>
            <w:pPr>
              <w:jc w:val="center"/>
            </w:pPr>
            <w:r/>
            <m:oMath xmlns:mml="http://www.w3.org/1998/Math/MathML">
              <m:r>
                <m:t>3.478×</m:t>
              </m:r>
              <m:sSup>
                <m:e>
                  <m:r>
                    <m:t>10</m:t>
                  </m:r>
                </m:e>
                <m:sup>
                  <m:r>
                    <m:t>−9</m:t>
                  </m:r>
                </m:sup>
              </m:sSup>
            </m:oMath>
          </w:p>
        </w:tc>
      </w:tr>
      <w:tr>
        <w:tc>
          <w:tcPr>
            <w:tcW w:type="dxa" w:w="1385"/>
          </w:tcPr>
          <w:p>
            <w:pPr>
              <w:jc w:val="center"/>
            </w:pPr>
            <w:r/>
            <m:oMath xmlns:mml="http://www.w3.org/1998/Math/MathML">
              <m:r>
                <m:t>1.0×</m:t>
              </m:r>
              <m:sSup>
                <m:e>
                  <m:r>
                    <m:t>10</m:t>
                  </m:r>
                </m:e>
                <m:sup>
                  <m:r>
                    <m:t>−7</m:t>
                  </m:r>
                </m:sup>
              </m:sSup>
            </m:oMath>
          </w:p>
        </w:tc>
        <w:tc>
          <w:tcPr>
            <w:tcW w:type="dxa" w:w="1385"/>
          </w:tcPr>
          <w:p>
            <w:pPr>
              <w:jc w:val="center"/>
            </w:pPr>
            <w:r/>
            <w:r>
              <w:rPr>
                <w:rFonts w:ascii="Times New Roman" w:hAnsi="Times New Roman" w:eastAsia="SimSun"/>
                <w:b w:val="0"/>
                <w:sz w:val="21"/>
              </w:rPr>
              <w:t>0.3761</w:t>
            </w:r>
          </w:p>
        </w:tc>
        <w:tc>
          <w:tcPr>
            <w:tcW w:type="dxa" w:w="1385"/>
          </w:tcPr>
          <w:p>
            <w:pPr>
              <w:jc w:val="center"/>
            </w:pPr>
            <w:r/>
            <m:oMath xmlns:mml="http://www.w3.org/1998/Math/MathML">
              <m:r>
                <m:t>1.001×</m:t>
              </m:r>
              <m:sSup>
                <m:e>
                  <m:r>
                    <m:t>10</m:t>
                  </m:r>
                </m:e>
                <m:sup>
                  <m:r>
                    <m:t>−3</m:t>
                  </m:r>
                </m:sup>
              </m:sSup>
            </m:oMath>
          </w:p>
        </w:tc>
        <w:tc>
          <w:tcPr>
            <w:tcW w:type="dxa" w:w="1385"/>
          </w:tcPr>
          <w:p>
            <w:pPr>
              <w:jc w:val="center"/>
            </w:pPr>
            <w:r/>
            <m:oMath xmlns:mml="http://www.w3.org/1998/Math/MathML">
              <m:r>
                <m:t>3.872×</m:t>
              </m:r>
              <m:sSup>
                <m:e>
                  <m:r>
                    <m:t>10</m:t>
                  </m:r>
                </m:e>
                <m:sup>
                  <m:r>
                    <m:t>−9</m:t>
                  </m:r>
                </m:sup>
              </m:sSup>
            </m:oMath>
          </w:p>
        </w:tc>
        <w:tc>
          <w:tcPr>
            <w:tcW w:type="dxa" w:w="1385"/>
          </w:tcPr>
          <w:p>
            <w:pPr>
              <w:jc w:val="center"/>
            </w:pPr>
            <w:r/>
            <w:r>
              <w:rPr>
                <w:rFonts w:ascii="Times New Roman" w:hAnsi="Times New Roman" w:eastAsia="SimSun"/>
                <w:b w:val="0"/>
                <w:sz w:val="21"/>
              </w:rPr>
              <w:t>3.869</w:t>
            </w:r>
          </w:p>
        </w:tc>
        <w:tc>
          <w:tcPr>
            <w:tcW w:type="dxa" w:w="1385"/>
          </w:tcPr>
          <w:p>
            <w:pPr>
              <w:jc w:val="center"/>
            </w:pPr>
            <w:r/>
            <m:oMath xmlns:mml="http://www.w3.org/1998/Math/MathML">
              <m:r>
                <m:t>4.989×</m:t>
              </m:r>
              <m:sSup>
                <m:e>
                  <m:r>
                    <m:t>10</m:t>
                  </m:r>
                </m:e>
                <m:sup>
                  <m:r>
                    <m:t>−9</m:t>
                  </m:r>
                </m:sup>
              </m:sSup>
            </m:oMath>
          </w:p>
        </w:tc>
      </w:tr>
      <w:tr>
        <w:tc>
          <w:tcPr>
            <w:tcW w:type="dxa" w:w="1385"/>
          </w:tcPr>
          <w:p>
            <w:pPr>
              <w:jc w:val="center"/>
            </w:pPr>
            <w:r/>
            <m:oMath xmlns:mml="http://www.w3.org/1998/Math/MathML">
              <m:r>
                <m:t>1.0×</m:t>
              </m:r>
              <m:sSup>
                <m:e>
                  <m:r>
                    <m:t>10</m:t>
                  </m:r>
                </m:e>
                <m:sup>
                  <m:r>
                    <m:t>−6</m:t>
                  </m:r>
                </m:sup>
              </m:sSup>
            </m:oMath>
          </w:p>
        </w:tc>
        <w:tc>
          <w:tcPr>
            <w:tcW w:type="dxa" w:w="1385"/>
          </w:tcPr>
          <w:p>
            <w:pPr>
              <w:jc w:val="center"/>
            </w:pPr>
            <w:r/>
            <w:r>
              <w:rPr>
                <w:rFonts w:ascii="Times New Roman" w:hAnsi="Times New Roman" w:eastAsia="SimSun"/>
                <w:b w:val="0"/>
                <w:sz w:val="21"/>
              </w:rPr>
              <w:t>0.4257</w:t>
            </w:r>
          </w:p>
        </w:tc>
        <w:tc>
          <w:tcPr>
            <w:tcW w:type="dxa" w:w="1385"/>
          </w:tcPr>
          <w:p>
            <w:pPr>
              <w:jc w:val="center"/>
            </w:pPr>
            <w:r/>
            <m:oMath xmlns:mml="http://www.w3.org/1998/Math/MathML">
              <m:r>
                <m:t>1.000×</m:t>
              </m:r>
              <m:sSup>
                <m:e>
                  <m:r>
                    <m:t>10</m:t>
                  </m:r>
                </m:e>
                <m:sup>
                  <m:r>
                    <m:t>−3</m:t>
                  </m:r>
                </m:sup>
              </m:sSup>
            </m:oMath>
          </w:p>
        </w:tc>
        <w:tc>
          <w:tcPr>
            <w:tcW w:type="dxa" w:w="1385"/>
          </w:tcPr>
          <w:p>
            <w:pPr>
              <w:jc w:val="center"/>
            </w:pPr>
            <w:r/>
            <m:oMath xmlns:mml="http://www.w3.org/1998/Math/MathML">
              <m:r>
                <m:t>4.211×</m:t>
              </m:r>
              <m:sSup>
                <m:e>
                  <m:r>
                    <m:t>10</m:t>
                  </m:r>
                </m:e>
                <m:sup>
                  <m:r>
                    <m:t>−9</m:t>
                  </m:r>
                </m:sup>
              </m:sSup>
            </m:oMath>
          </w:p>
        </w:tc>
        <w:tc>
          <w:tcPr>
            <w:tcW w:type="dxa" w:w="1385"/>
          </w:tcPr>
          <w:p>
            <w:pPr>
              <w:jc w:val="center"/>
            </w:pPr>
            <w:r/>
            <w:r>
              <w:rPr>
                <w:rFonts w:ascii="Times New Roman" w:hAnsi="Times New Roman" w:eastAsia="SimSun"/>
                <w:b w:val="0"/>
                <w:sz w:val="21"/>
              </w:rPr>
              <w:t>4.206</w:t>
            </w:r>
          </w:p>
        </w:tc>
        <w:tc>
          <w:tcPr>
            <w:tcW w:type="dxa" w:w="1385"/>
          </w:tcPr>
          <w:p>
            <w:pPr>
              <w:jc w:val="center"/>
            </w:pPr>
            <w:r/>
            <m:oMath xmlns:mml="http://www.w3.org/1998/Math/MathML">
              <m:r>
                <m:t>6.345×</m:t>
              </m:r>
              <m:sSup>
                <m:e>
                  <m:r>
                    <m:t>10</m:t>
                  </m:r>
                </m:e>
                <m:sup>
                  <m:r>
                    <m:t>−9</m:t>
                  </m:r>
                </m:sup>
              </m:sSup>
            </m:oMath>
          </w:p>
        </w:tc>
      </w:tr>
      <w:tr>
        <w:tc>
          <w:tcPr>
            <w:tcW w:type="dxa" w:w="1385"/>
          </w:tcPr>
          <w:p>
            <w:pPr>
              <w:jc w:val="center"/>
            </w:pPr>
            <w:r/>
            <m:oMath xmlns:mml="http://www.w3.org/1998/Math/MathML">
              <m:r>
                <m:t>1.0×</m:t>
              </m:r>
              <m:sSup>
                <m:e>
                  <m:r>
                    <m:t>10</m:t>
                  </m:r>
                </m:e>
                <m:sup>
                  <m:r>
                    <m:t>−5</m:t>
                  </m:r>
                </m:sup>
              </m:sSup>
            </m:oMath>
          </w:p>
        </w:tc>
        <w:tc>
          <w:tcPr>
            <w:tcW w:type="dxa" w:w="1385"/>
          </w:tcPr>
          <w:p>
            <w:pPr>
              <w:jc w:val="center"/>
            </w:pPr>
            <w:r/>
            <w:r>
              <w:rPr>
                <w:rFonts w:ascii="Times New Roman" w:hAnsi="Times New Roman" w:eastAsia="SimSun"/>
                <w:b w:val="0"/>
                <w:sz w:val="21"/>
              </w:rPr>
              <w:t>0.4344</w:t>
            </w:r>
          </w:p>
        </w:tc>
        <w:tc>
          <w:tcPr>
            <w:tcW w:type="dxa" w:w="1385"/>
          </w:tcPr>
          <w:p>
            <w:pPr>
              <w:jc w:val="center"/>
            </w:pPr>
            <w:r/>
            <m:oMath xmlns:mml="http://www.w3.org/1998/Math/MathML">
              <m:r>
                <m:t>9.997×</m:t>
              </m:r>
              <m:sSup>
                <m:e>
                  <m:r>
                    <m:t>10</m:t>
                  </m:r>
                </m:e>
                <m:sup>
                  <m:r>
                    <m:t>−4</m:t>
                  </m:r>
                </m:sup>
              </m:sSup>
            </m:oMath>
          </w:p>
        </w:tc>
        <w:tc>
          <w:tcPr>
            <w:tcW w:type="dxa" w:w="1385"/>
          </w:tcPr>
          <w:p>
            <w:pPr>
              <w:jc w:val="center"/>
            </w:pPr>
            <w:r/>
            <m:oMath xmlns:mml="http://www.w3.org/1998/Math/MathML">
              <m:r>
                <m:t>4.297×</m:t>
              </m:r>
              <m:sSup>
                <m:e>
                  <m:r>
                    <m:t>10</m:t>
                  </m:r>
                </m:e>
                <m:sup>
                  <m:r>
                    <m:t>−9</m:t>
                  </m:r>
                </m:sup>
              </m:sSup>
            </m:oMath>
          </w:p>
        </w:tc>
        <w:tc>
          <w:tcPr>
            <w:tcW w:type="dxa" w:w="1385"/>
          </w:tcPr>
          <w:p>
            <w:pPr>
              <w:jc w:val="center"/>
            </w:pPr>
            <w:r/>
            <w:r>
              <w:rPr>
                <w:rFonts w:ascii="Times New Roman" w:hAnsi="Times New Roman" w:eastAsia="SimSun"/>
                <w:b w:val="0"/>
                <w:sz w:val="21"/>
              </w:rPr>
              <w:t>4.291</w:t>
            </w:r>
          </w:p>
        </w:tc>
        <w:tc>
          <w:tcPr>
            <w:tcW w:type="dxa" w:w="1385"/>
          </w:tcPr>
          <w:p>
            <w:pPr>
              <w:jc w:val="center"/>
            </w:pPr>
            <w:r/>
            <m:oMath xmlns:mml="http://www.w3.org/1998/Math/MathML">
              <m:r>
                <m:t>6.687×</m:t>
              </m:r>
              <m:sSup>
                <m:e>
                  <m:r>
                    <m:t>10</m:t>
                  </m:r>
                </m:e>
                <m:sup>
                  <m:r>
                    <m:t>−9</m:t>
                  </m:r>
                </m:sup>
              </m:sSup>
            </m:oMath>
          </w:p>
        </w:tc>
      </w:tr>
    </w:tbl>
    <w:p>
      <w:pPr>
        <w:spacing w:line="360" w:lineRule="auto"/>
        <w:ind w:firstLine="403"/>
      </w:pPr>
      <w:r>
        <w:rPr>
          <w:rFonts w:ascii="Times New Roman" w:hAnsi="Times New Roman" w:eastAsia="SimSun"/>
          <w:b w:val="0"/>
          <w:sz w:val="21"/>
        </w:rPr>
        <w:t>由表2可见，在固定正向电流密度条件下，寿命增加使恢复面电荷和存储移动面电荷均呈上升趋势。</w:t>
      </w:r>
      <m:oMath xmlns:mml="http://www.w3.org/1998/Math/MathML">
        <m:f>
          <m:fPr>
            <m:type m:val="lin"/>
          </m:fPr>
          <m:num>
            <m:sSub>
              <m:e>
                <m:r>
                  <m:t>Q</m:t>
                </m:r>
              </m:e>
              <m:sub>
                <m:r>
                  <m:t>rr</m:t>
                </m:r>
              </m:sub>
            </m:sSub>
          </m:num>
          <m:den>
            <m:r>
              <m:t>A</m:t>
            </m:r>
          </m:den>
        </m:f>
      </m:oMath>
      <w:r>
        <w:rPr>
          <w:rFonts w:ascii="Times New Roman" w:hAnsi="Times New Roman" w:eastAsia="SimSun"/>
          <w:b w:val="0"/>
          <w:sz w:val="21"/>
        </w:rPr>
        <w:t xml:space="preserve"> 的增幅约为 23%，而 </w:t>
      </w:r>
      <m:oMath xmlns:mml="http://www.w3.org/1998/Math/MathML">
        <m:f>
          <m:fPr>
            <m:type m:val="lin"/>
          </m:fPr>
          <m:num>
            <m:sSub>
              <m:e>
                <m:r>
                  <m:t>Q</m:t>
                </m:r>
              </m:e>
              <m:sub>
                <m:r>
                  <m:t>stored</m:t>
                </m:r>
              </m:sub>
            </m:sSub>
          </m:num>
          <m:den>
            <m:r>
              <m:t>A</m:t>
            </m:r>
          </m:den>
        </m:f>
      </m:oMath>
      <w:r>
        <w:rPr>
          <w:rFonts w:ascii="Times New Roman" w:hAnsi="Times New Roman" w:eastAsia="SimSun"/>
          <w:b w:val="0"/>
          <w:sz w:val="21"/>
        </w:rPr>
        <w:t xml:space="preserve"> 的增幅约为 92%。二者并不严格相等，这是因为前者是由终端电流、积分阈值和反向边界共同决定的端口量，后者是相对平衡态的内部载流子积分量。但二者同向变化且量级相近，说明本文提取的反向恢复电荷与器件内部存储载流子状态具有合理对应关系。图2进一步比较了两种初始化协议下 </w:t>
      </w:r>
      <m:oMath xmlns:mml="http://www.w3.org/1998/Math/MathML">
        <m:f>
          <m:fPr>
            <m:type m:val="lin"/>
          </m:fPr>
          <m:num>
            <m:sSub>
              <m:e>
                <m:r>
                  <m:t>Q</m:t>
                </m:r>
              </m:e>
              <m:sub>
                <m:r>
                  <m:t>rr</m:t>
                </m:r>
              </m:sub>
            </m:sSub>
          </m:num>
          <m:den>
            <m:r>
              <m:t>A</m:t>
            </m:r>
          </m:den>
        </m:f>
      </m:oMath>
      <w:r>
        <w:rPr>
          <w:rFonts w:ascii="Times New Roman" w:hAnsi="Times New Roman" w:eastAsia="SimSun"/>
          <w:b w:val="0"/>
          <w:sz w:val="21"/>
        </w:rPr>
        <w:t xml:space="preserve"> 和 </w:t>
      </w:r>
      <m:oMath xmlns:mml="http://www.w3.org/1998/Math/MathML">
        <m:f>
          <m:fPr>
            <m:type m:val="lin"/>
          </m:fPr>
          <m:num>
            <m:sSub>
              <m:e>
                <m:r>
                  <m:t>Q</m:t>
                </m:r>
              </m:e>
              <m:sub>
                <m:r>
                  <m:t>stored</m:t>
                </m:r>
              </m:sub>
            </m:sSub>
          </m:num>
          <m:den>
            <m:r>
              <m:t>A</m:t>
            </m:r>
          </m:den>
        </m:f>
      </m:oMath>
      <w:r>
        <w:rPr>
          <w:rFonts w:ascii="Times New Roman" w:hAnsi="Times New Roman" w:eastAsia="SimSun"/>
          <w:b w:val="0"/>
          <w:sz w:val="21"/>
        </w:rPr>
        <w:t xml:space="preserve"> 随寿命变化的趋势。</w:t>
      </w:r>
    </w:p>
    <w:p>
      <w:pPr>
        <w:jc w:val="center"/>
      </w:pPr>
      <w:r>
        <w:drawing>
          <wp:inline xmlns:a="http://schemas.openxmlformats.org/drawingml/2006/main" xmlns:pic="http://schemas.openxmlformats.org/drawingml/2006/picture">
            <wp:extent cx="5303520" cy="2113722"/>
            <wp:docPr id="2" name="Picture 2"/>
            <wp:cNvGraphicFramePr>
              <a:graphicFrameLocks noChangeAspect="1"/>
            </wp:cNvGraphicFramePr>
            <a:graphic>
              <a:graphicData uri="http://schemas.openxmlformats.org/drawingml/2006/picture">
                <pic:pic>
                  <pic:nvPicPr>
                    <pic:cNvPr id="0" name="fig_pub_lifetime_summary.png"/>
                    <pic:cNvPicPr/>
                  </pic:nvPicPr>
                  <pic:blipFill>
                    <a:blip r:embed="rId10"/>
                    <a:stretch>
                      <a:fillRect/>
                    </a:stretch>
                  </pic:blipFill>
                  <pic:spPr>
                    <a:xfrm>
                      <a:off x="0" y="0"/>
                      <a:ext cx="5303520" cy="2113722"/>
                    </a:xfrm>
                    <a:prstGeom prst="rect"/>
                  </pic:spPr>
                </pic:pic>
              </a:graphicData>
            </a:graphic>
          </wp:inline>
        </w:drawing>
      </w:r>
    </w:p>
    <w:p>
      <w:pPr>
        <w:spacing w:line="360" w:lineRule="auto"/>
        <w:jc w:val="center"/>
      </w:pPr>
      <w:r>
        <w:rPr>
          <w:rFonts w:ascii="Times New Roman" w:hAnsi="Times New Roman" w:eastAsia="SimSun"/>
          <w:b w:val="0"/>
          <w:sz w:val="21"/>
        </w:rPr>
        <w:t>图2  载流子寿命对反向恢复电荷和存储移动电荷的影响</w:t>
      </w:r>
    </w:p>
    <w:p>
      <w:pPr>
        <w:spacing w:line="360" w:lineRule="auto"/>
      </w:pPr>
      <w:r>
        <w:rPr>
          <w:rFonts w:ascii="Times New Roman" w:hAnsi="Times New Roman" w:eastAsia="SimSun"/>
          <w:b/>
          <w:sz w:val="24"/>
        </w:rPr>
        <w:t>3.3 两类初始化协议的波形差异</w:t>
      </w:r>
    </w:p>
    <w:p>
      <w:pPr>
        <w:spacing w:line="360" w:lineRule="auto"/>
        <w:ind w:firstLine="403"/>
      </w:pPr>
      <w:r>
        <w:rPr>
          <w:rFonts w:ascii="Times New Roman" w:hAnsi="Times New Roman" w:eastAsia="SimSun"/>
          <w:b w:val="0"/>
          <w:sz w:val="21"/>
        </w:rPr>
        <w:t>图3比较了固定正向电压和固定目标电流协议下的反向恢复波形。固定电压协议由于 0.8 V 正向偏置导致较强注入，反向峰值电流明显高于固定电流协议。固定目标电流协议下，不同寿命的波形峰值和积分面积随寿命增加而缓慢增大，更能反映给定正向导通条件下的寿命效应。</w:t>
      </w:r>
    </w:p>
    <w:p>
      <w:pPr>
        <w:jc w:val="center"/>
      </w:pPr>
      <w:r>
        <w:drawing>
          <wp:inline xmlns:a="http://schemas.openxmlformats.org/drawingml/2006/main" xmlns:pic="http://schemas.openxmlformats.org/drawingml/2006/picture">
            <wp:extent cx="5303520" cy="2075290"/>
            <wp:docPr id="3" name="Picture 3"/>
            <wp:cNvGraphicFramePr>
              <a:graphicFrameLocks noChangeAspect="1"/>
            </wp:cNvGraphicFramePr>
            <a:graphic>
              <a:graphicData uri="http://schemas.openxmlformats.org/drawingml/2006/picture">
                <pic:pic>
                  <pic:nvPicPr>
                    <pic:cNvPr id="0" name="fig_pub_recovery_waveforms.png"/>
                    <pic:cNvPicPr/>
                  </pic:nvPicPr>
                  <pic:blipFill>
                    <a:blip r:embed="rId11"/>
                    <a:stretch>
                      <a:fillRect/>
                    </a:stretch>
                  </pic:blipFill>
                  <pic:spPr>
                    <a:xfrm>
                      <a:off x="0" y="0"/>
                      <a:ext cx="5303520" cy="2075290"/>
                    </a:xfrm>
                    <a:prstGeom prst="rect"/>
                  </pic:spPr>
                </pic:pic>
              </a:graphicData>
            </a:graphic>
          </wp:inline>
        </w:drawing>
      </w:r>
    </w:p>
    <w:p>
      <w:pPr>
        <w:spacing w:line="360" w:lineRule="auto"/>
        <w:jc w:val="center"/>
      </w:pPr>
      <w:r>
        <w:rPr>
          <w:rFonts w:ascii="Times New Roman" w:hAnsi="Times New Roman" w:eastAsia="SimSun"/>
          <w:b w:val="0"/>
          <w:sz w:val="21"/>
        </w:rPr>
        <w:t>图3  固定正向电压与固定目标电流协议下的反向恢复波形</w:t>
      </w:r>
    </w:p>
    <w:p>
      <w:pPr>
        <w:spacing w:line="360" w:lineRule="auto"/>
        <w:ind w:firstLine="403"/>
      </w:pPr>
      <w:r>
        <w:rPr>
          <w:rFonts w:ascii="Times New Roman" w:hAnsi="Times New Roman" w:eastAsia="SimSun"/>
          <w:b w:val="0"/>
          <w:sz w:val="21"/>
        </w:rPr>
        <w:t xml:space="preserve">这一结果表明，反向恢复 benchmark 必须明确偏置历史。若只报告 </w:t>
      </w:r>
      <m:oMath xmlns:mml="http://www.w3.org/1998/Math/MathML">
        <m:sSub>
          <m:e>
            <m:r>
              <m:t>Q</m:t>
            </m:r>
          </m:e>
          <m:sub>
            <m:r>
              <m:t>rr</m:t>
            </m:r>
          </m:sub>
        </m:sSub>
      </m:oMath>
      <w:r>
        <w:rPr>
          <w:rFonts w:ascii="Times New Roman" w:hAnsi="Times New Roman" w:eastAsia="SimSun"/>
          <w:b w:val="0"/>
          <w:sz w:val="21"/>
        </w:rPr>
        <w:t>、</w:t>
      </w:r>
      <m:oMath xmlns:mml="http://www.w3.org/1998/Math/MathML">
        <m:sSub>
          <m:e>
            <m:r>
              <m:t>I</m:t>
            </m:r>
          </m:e>
          <m:sub>
            <m:r>
              <m:t>rrm</m:t>
            </m:r>
          </m:sub>
        </m:sSub>
      </m:oMath>
      <w:r>
        <w:rPr>
          <w:rFonts w:ascii="Times New Roman" w:hAnsi="Times New Roman" w:eastAsia="SimSun"/>
          <w:b w:val="0"/>
          <w:sz w:val="21"/>
        </w:rPr>
        <w:t xml:space="preserve"> 或 </w:t>
      </w:r>
      <m:oMath xmlns:mml="http://www.w3.org/1998/Math/MathML">
        <m:sSub>
          <m:e>
            <m:r>
              <m:t>t</m:t>
            </m:r>
          </m:e>
          <m:sub>
            <m:r>
              <m:t>rr</m:t>
            </m:r>
          </m:sub>
        </m:sSub>
      </m:oMath>
      <w:r>
        <w:rPr>
          <w:rFonts w:ascii="Times New Roman" w:hAnsi="Times New Roman" w:eastAsia="SimSun"/>
          <w:b w:val="0"/>
          <w:sz w:val="21"/>
        </w:rPr>
        <w:t>，而不说明正向预偏置采用固定电压还是固定电流，不同研究之间的数值比较可能缺乏物理一致性。本文因此在每个原始数据文件中保存初始化协议、正向电压、正向电流、反向阶跃电压、时间步长和网格密度等元数据。</w:t>
      </w:r>
    </w:p>
    <w:p>
      <w:pPr>
        <w:spacing w:line="360" w:lineRule="auto"/>
      </w:pPr>
      <w:r>
        <w:rPr>
          <w:rFonts w:ascii="Times New Roman" w:hAnsi="Times New Roman" w:eastAsia="SimSun"/>
          <w:b/>
          <w:sz w:val="24"/>
        </w:rPr>
        <w:t>3.4 目标正向电流密度扫描</w:t>
      </w:r>
    </w:p>
    <w:p>
      <w:pPr>
        <w:spacing w:line="360" w:lineRule="auto"/>
        <w:ind w:firstLine="403"/>
      </w:pPr>
      <w:r>
        <w:rPr>
          <w:rFonts w:ascii="Times New Roman" w:hAnsi="Times New Roman" w:eastAsia="SimSun"/>
          <w:b w:val="0"/>
          <w:sz w:val="21"/>
        </w:rPr>
        <w:t xml:space="preserve">为进一步增强基准的覆盖面，本文在 </w:t>
      </w:r>
      <m:oMath xmlns:mml="http://www.w3.org/1998/Math/MathML">
        <m:r>
          <m:t>τ=1.0×</m:t>
        </m:r>
        <m:sSup>
          <m:e>
            <m:r>
              <m:t>10</m:t>
            </m:r>
          </m:e>
          <m:sup>
            <m:r>
              <m:t>−6</m:t>
            </m:r>
          </m:sup>
        </m:sSup>
      </m:oMath>
      <w:r>
        <w:rPr>
          <w:rFonts w:ascii="Times New Roman" w:hAnsi="Times New Roman" w:eastAsia="SimSun"/>
          <w:b w:val="0"/>
          <w:sz w:val="21"/>
        </w:rPr>
        <w:t xml:space="preserve"> s、</w:t>
      </w:r>
      <m:oMath xmlns:mml="http://www.w3.org/1998/Math/MathML">
        <m:r>
          <m:t>Δt=2.0×</m:t>
        </m:r>
        <m:sSup>
          <m:e>
            <m:r>
              <m:t>10</m:t>
            </m:r>
          </m:e>
          <m:sup>
            <m:r>
              <m:t>−9</m:t>
            </m:r>
          </m:sup>
        </m:sSup>
      </m:oMath>
      <w:r>
        <w:rPr>
          <w:rFonts w:ascii="Times New Roman" w:hAnsi="Times New Roman" w:eastAsia="SimSun"/>
          <w:b w:val="0"/>
          <w:sz w:val="21"/>
        </w:rPr>
        <w:t xml:space="preserve"> s 和反向阶跃电压 -1.0 V 条件下，对目标正向电流密度进行扫描。结果如表3所示。</w:t>
      </w:r>
    </w:p>
    <w:p>
      <w:pPr>
        <w:spacing w:line="360" w:lineRule="auto"/>
        <w:ind w:firstLine="403"/>
      </w:pPr>
      <w:r>
        <w:rPr>
          <w:rFonts w:ascii="Times New Roman" w:hAnsi="Times New Roman" w:eastAsia="SimSun"/>
          <w:b w:val="0"/>
          <w:sz w:val="21"/>
        </w:rPr>
        <w:t>表3  固定寿命条件下的目标正向电流密度扫描</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
              <w:rPr>
                <w:rFonts w:ascii="Times New Roman" w:hAnsi="Times New Roman" w:eastAsia="SimSun"/>
                <w:b/>
                <w:sz w:val="21"/>
              </w:rPr>
              <w:t xml:space="preserve">目标 </w:t>
            </w:r>
            <m:oMath xmlns:mml="http://www.w3.org/1998/Math/MathML">
              <m:sSub>
                <m:e>
                  <m:r>
                    <m:t>J</m:t>
                  </m:r>
                </m:e>
                <m:sub>
                  <m:r>
                    <m:t>F</m:t>
                  </m:r>
                </m:sub>
              </m:sSub>
            </m:oMath>
            <w:r>
              <w:rPr>
                <w:rFonts w:ascii="Times New Roman" w:hAnsi="Times New Roman" w:eastAsia="SimSun"/>
                <w:b/>
                <w:sz w:val="21"/>
              </w:rPr>
              <w:t xml:space="preserve"> / </w:t>
            </w:r>
            <m:oMath xmlns:mml="http://www.w3.org/1998/Math/MathML">
              <m:r>
                <m:t>A</m:t>
              </m:r>
              <m:r>
                <m:t>c</m:t>
              </m:r>
              <m:sSup>
                <m:e>
                  <m:r>
                    <m:t>m</m:t>
                  </m:r>
                </m:e>
                <m:sup>
                  <m:r>
                    <m:t>−2</m:t>
                  </m:r>
                </m:sup>
              </m:sSup>
            </m:oMath>
          </w:p>
        </w:tc>
        <w:tc>
          <w:tcPr>
            <w:tcW w:type="dxa" w:w="1385"/>
          </w:tcPr>
          <w:p>
            <w:pPr>
              <w:jc w:val="center"/>
            </w:pPr>
            <w:r/>
            <w:r>
              <w:rPr>
                <w:rFonts w:ascii="Times New Roman" w:hAnsi="Times New Roman" w:eastAsia="SimSun"/>
                <w:b/>
                <w:sz w:val="21"/>
              </w:rPr>
              <w:t xml:space="preserve">实际 </w:t>
            </w:r>
            <m:oMath xmlns:mml="http://www.w3.org/1998/Math/MathML">
              <m:sSub>
                <m:e>
                  <m:r>
                    <m:t>J</m:t>
                  </m:r>
                </m:e>
                <m:sub>
                  <m:r>
                    <m:t>F</m:t>
                  </m:r>
                </m:sub>
              </m:sSub>
            </m:oMath>
            <w:r>
              <w:rPr>
                <w:rFonts w:ascii="Times New Roman" w:hAnsi="Times New Roman" w:eastAsia="SimSun"/>
                <w:b/>
                <w:sz w:val="21"/>
              </w:rPr>
              <w:t xml:space="preserve"> / </w:t>
            </w:r>
            <m:oMath xmlns:mml="http://www.w3.org/1998/Math/MathML">
              <m:r>
                <m:t>A</m:t>
              </m:r>
              <m:r>
                <m:t>c</m:t>
              </m:r>
              <m:sSup>
                <m:e>
                  <m:r>
                    <m:t>m</m:t>
                  </m:r>
                </m:e>
                <m:sup>
                  <m:r>
                    <m:t>−2</m:t>
                  </m:r>
                </m:sup>
              </m:sSup>
            </m:oMath>
          </w:p>
        </w:tc>
        <w:tc>
          <w:tcPr>
            <w:tcW w:type="dxa" w:w="1385"/>
          </w:tcPr>
          <w:p>
            <w:pPr>
              <w:jc w:val="center"/>
            </w:pPr>
            <w:r/>
            <m:oMath xmlns:mml="http://www.w3.org/1998/Math/MathML">
              <m:sSub>
                <m:e>
                  <m:r>
                    <m:t>V</m:t>
                  </m:r>
                </m:e>
                <m:sub>
                  <m:r>
                    <m:t>F</m:t>
                  </m:r>
                </m:sub>
              </m:sSub>
            </m:oMath>
            <w:r>
              <w:rPr>
                <w:rFonts w:ascii="Times New Roman" w:hAnsi="Times New Roman" w:eastAsia="SimSun"/>
                <w:b/>
                <w:sz w:val="21"/>
              </w:rPr>
              <w:t xml:space="preserve"> / V</w:t>
            </w:r>
          </w:p>
        </w:tc>
        <w:tc>
          <w:tcPr>
            <w:tcW w:type="dxa" w:w="1385"/>
          </w:tcPr>
          <w:p>
            <w:pPr>
              <w:jc w:val="center"/>
            </w:pPr>
            <w:r/>
            <m:oMath xmlns:mml="http://www.w3.org/1998/Math/MathML">
              <m:f>
                <m:fPr>
                  <m:type m:val="lin"/>
                </m:fPr>
                <m:num>
                  <m:sSub>
                    <m:e>
                      <m:r>
                        <m:t>Q</m:t>
                      </m:r>
                    </m:e>
                    <m:sub>
                      <m:r>
                        <m:t>rr</m:t>
                      </m:r>
                    </m:sub>
                  </m:sSub>
                </m:num>
                <m:den>
                  <m:r>
                    <m:t>A</m:t>
                  </m:r>
                </m:den>
              </m:f>
            </m:oMath>
            <w:r>
              <w:rPr>
                <w:rFonts w:ascii="Times New Roman" w:hAnsi="Times New Roman" w:eastAsia="SimSun"/>
                <w:b/>
                <w:sz w:val="21"/>
              </w:rPr>
              <w:t xml:space="preserve"> / </w:t>
            </w:r>
            <m:oMath xmlns:mml="http://www.w3.org/1998/Math/MathML">
              <m:r>
                <m:t>C</m:t>
              </m:r>
              <m:r>
                <m:t>c</m:t>
              </m:r>
              <m:sSup>
                <m:e>
                  <m:r>
                    <m:t>m</m:t>
                  </m:r>
                </m:e>
                <m:sup>
                  <m:r>
                    <m:t>−2</m:t>
                  </m:r>
                </m:sup>
              </m:sSup>
            </m:oMath>
          </w:p>
        </w:tc>
        <w:tc>
          <w:tcPr>
            <w:tcW w:type="dxa" w:w="1385"/>
          </w:tcPr>
          <w:p>
            <w:pPr>
              <w:jc w:val="center"/>
            </w:pPr>
            <w:r/>
            <m:oMath xmlns:mml="http://www.w3.org/1998/Math/MathML">
              <m:f>
                <m:fPr>
                  <m:type m:val="lin"/>
                </m:fPr>
                <m:num>
                  <m:sSub>
                    <m:e>
                      <m:r>
                        <m:t>I</m:t>
                      </m:r>
                    </m:e>
                    <m:sub>
                      <m:r>
                        <m:t>rrm</m:t>
                      </m:r>
                    </m:sub>
                  </m:sSub>
                </m:num>
                <m:den>
                  <m:r>
                    <m:t>A</m:t>
                  </m:r>
                </m:den>
              </m:f>
            </m:oMath>
            <w:r>
              <w:rPr>
                <w:rFonts w:ascii="Times New Roman" w:hAnsi="Times New Roman" w:eastAsia="SimSun"/>
                <w:b/>
                <w:sz w:val="21"/>
              </w:rPr>
              <w:t xml:space="preserve"> / </w:t>
            </w:r>
            <m:oMath xmlns:mml="http://www.w3.org/1998/Math/MathML">
              <m:r>
                <m:t>A</m:t>
              </m:r>
              <m:r>
                <m:t>c</m:t>
              </m:r>
              <m:sSup>
                <m:e>
                  <m:r>
                    <m:t>m</m:t>
                  </m:r>
                </m:e>
                <m:sup>
                  <m:r>
                    <m:t>−2</m:t>
                  </m:r>
                </m:sup>
              </m:sSup>
            </m:oMath>
          </w:p>
        </w:tc>
        <w:tc>
          <w:tcPr>
            <w:tcW w:type="dxa" w:w="1385"/>
          </w:tcPr>
          <w:p>
            <w:pPr>
              <w:jc w:val="center"/>
            </w:pPr>
            <w:r/>
            <m:oMath xmlns:mml="http://www.w3.org/1998/Math/MathML">
              <m:f>
                <m:fPr>
                  <m:type m:val="lin"/>
                </m:fPr>
                <m:num>
                  <m:sSub>
                    <m:e>
                      <m:r>
                        <m:t>Q</m:t>
                      </m:r>
                    </m:e>
                    <m:sub>
                      <m:r>
                        <m:t>stored</m:t>
                      </m:r>
                    </m:sub>
                  </m:sSub>
                </m:num>
                <m:den>
                  <m:r>
                    <m:t>A</m:t>
                  </m:r>
                </m:den>
              </m:f>
            </m:oMath>
            <w:r>
              <w:rPr>
                <w:rFonts w:ascii="Times New Roman" w:hAnsi="Times New Roman" w:eastAsia="SimSun"/>
                <w:b/>
                <w:sz w:val="21"/>
              </w:rPr>
              <w:t xml:space="preserve"> / </w:t>
            </w:r>
            <m:oMath xmlns:mml="http://www.w3.org/1998/Math/MathML">
              <m:r>
                <m:t>C</m:t>
              </m:r>
              <m:r>
                <m:t>c</m:t>
              </m:r>
              <m:sSup>
                <m:e>
                  <m:r>
                    <m:t>m</m:t>
                  </m:r>
                </m:e>
                <m:sup>
                  <m:r>
                    <m:t>−2</m:t>
                  </m:r>
                </m:sup>
              </m:sSup>
            </m:oMath>
          </w:p>
        </w:tc>
      </w:tr>
      <w:tr>
        <w:tc>
          <w:tcPr>
            <w:tcW w:type="dxa" w:w="1385"/>
          </w:tcPr>
          <w:p>
            <w:pPr>
              <w:jc w:val="center"/>
            </w:pPr>
            <w:r/>
            <m:oMath xmlns:mml="http://www.w3.org/1998/Math/MathML">
              <m:r>
                <m:t>1.0×</m:t>
              </m:r>
              <m:sSup>
                <m:e>
                  <m:r>
                    <m:t>10</m:t>
                  </m:r>
                </m:e>
                <m:sup>
                  <m:r>
                    <m:t>−4</m:t>
                  </m:r>
                </m:sup>
              </m:sSup>
            </m:oMath>
          </w:p>
        </w:tc>
        <w:tc>
          <w:tcPr>
            <w:tcW w:type="dxa" w:w="1385"/>
          </w:tcPr>
          <w:p>
            <w:pPr>
              <w:jc w:val="center"/>
            </w:pPr>
            <w:r/>
            <m:oMath xmlns:mml="http://www.w3.org/1998/Math/MathML">
              <m:r>
                <m:t>1.000×</m:t>
              </m:r>
              <m:sSup>
                <m:e>
                  <m:r>
                    <m:t>10</m:t>
                  </m:r>
                </m:e>
                <m:sup>
                  <m:r>
                    <m:t>−4</m:t>
                  </m:r>
                </m:sup>
              </m:sSup>
            </m:oMath>
          </w:p>
        </w:tc>
        <w:tc>
          <w:tcPr>
            <w:tcW w:type="dxa" w:w="1385"/>
          </w:tcPr>
          <w:p>
            <w:pPr>
              <w:jc w:val="center"/>
            </w:pPr>
            <w:r/>
            <w:r>
              <w:rPr>
                <w:rFonts w:ascii="Times New Roman" w:hAnsi="Times New Roman" w:eastAsia="SimSun"/>
                <w:b w:val="0"/>
                <w:sz w:val="21"/>
              </w:rPr>
              <w:t>0.3555</w:t>
            </w:r>
          </w:p>
        </w:tc>
        <w:tc>
          <w:tcPr>
            <w:tcW w:type="dxa" w:w="1385"/>
          </w:tcPr>
          <w:p>
            <w:pPr>
              <w:jc w:val="center"/>
            </w:pPr>
            <w:r/>
            <m:oMath xmlns:mml="http://www.w3.org/1998/Math/MathML">
              <m:r>
                <m:t>3.772×</m:t>
              </m:r>
              <m:sSup>
                <m:e>
                  <m:r>
                    <m:t>10</m:t>
                  </m:r>
                </m:e>
                <m:sup>
                  <m:r>
                    <m:t>−9</m:t>
                  </m:r>
                </m:sup>
              </m:sSup>
            </m:oMath>
          </w:p>
        </w:tc>
        <w:tc>
          <w:tcPr>
            <w:tcW w:type="dxa" w:w="1385"/>
          </w:tcPr>
          <w:p>
            <w:pPr>
              <w:jc w:val="center"/>
            </w:pPr>
            <w:r/>
            <w:r>
              <w:rPr>
                <w:rFonts w:ascii="Times New Roman" w:hAnsi="Times New Roman" w:eastAsia="SimSun"/>
                <w:b w:val="0"/>
                <w:sz w:val="21"/>
              </w:rPr>
              <w:t>3.770</w:t>
            </w:r>
          </w:p>
        </w:tc>
        <w:tc>
          <w:tcPr>
            <w:tcW w:type="dxa" w:w="1385"/>
          </w:tcPr>
          <w:p>
            <w:pPr>
              <w:jc w:val="center"/>
            </w:pPr>
            <w:r/>
            <m:oMath xmlns:mml="http://www.w3.org/1998/Math/MathML">
              <m:r>
                <m:t>4.589×</m:t>
              </m:r>
              <m:sSup>
                <m:e>
                  <m:r>
                    <m:t>10</m:t>
                  </m:r>
                </m:e>
                <m:sup>
                  <m:r>
                    <m:t>−9</m:t>
                  </m:r>
                </m:sup>
              </m:sSup>
            </m:oMath>
          </w:p>
        </w:tc>
      </w:tr>
      <w:tr>
        <w:tc>
          <w:tcPr>
            <w:tcW w:type="dxa" w:w="1385"/>
          </w:tcPr>
          <w:p>
            <w:pPr>
              <w:jc w:val="center"/>
            </w:pPr>
            <w:r/>
            <m:oMath xmlns:mml="http://www.w3.org/1998/Math/MathML">
              <m:r>
                <m:t>1.0×</m:t>
              </m:r>
              <m:sSup>
                <m:e>
                  <m:r>
                    <m:t>10</m:t>
                  </m:r>
                </m:e>
                <m:sup>
                  <m:r>
                    <m:t>−3</m:t>
                  </m:r>
                </m:sup>
              </m:sSup>
            </m:oMath>
          </w:p>
        </w:tc>
        <w:tc>
          <w:tcPr>
            <w:tcW w:type="dxa" w:w="1385"/>
          </w:tcPr>
          <w:p>
            <w:pPr>
              <w:jc w:val="center"/>
            </w:pPr>
            <w:r/>
            <m:oMath xmlns:mml="http://www.w3.org/1998/Math/MathML">
              <m:r>
                <m:t>1.000×</m:t>
              </m:r>
              <m:sSup>
                <m:e>
                  <m:r>
                    <m:t>10</m:t>
                  </m:r>
                </m:e>
                <m:sup>
                  <m:r>
                    <m:t>−3</m:t>
                  </m:r>
                </m:sup>
              </m:sSup>
            </m:oMath>
          </w:p>
        </w:tc>
        <w:tc>
          <w:tcPr>
            <w:tcW w:type="dxa" w:w="1385"/>
          </w:tcPr>
          <w:p>
            <w:pPr>
              <w:jc w:val="center"/>
            </w:pPr>
            <w:r/>
            <w:r>
              <w:rPr>
                <w:rFonts w:ascii="Times New Roman" w:hAnsi="Times New Roman" w:eastAsia="SimSun"/>
                <w:b w:val="0"/>
                <w:sz w:val="21"/>
              </w:rPr>
              <w:t>0.4257</w:t>
            </w:r>
          </w:p>
        </w:tc>
        <w:tc>
          <w:tcPr>
            <w:tcW w:type="dxa" w:w="1385"/>
          </w:tcPr>
          <w:p>
            <w:pPr>
              <w:jc w:val="center"/>
            </w:pPr>
            <w:r/>
            <m:oMath xmlns:mml="http://www.w3.org/1998/Math/MathML">
              <m:r>
                <m:t>4.211×</m:t>
              </m:r>
              <m:sSup>
                <m:e>
                  <m:r>
                    <m:t>10</m:t>
                  </m:r>
                </m:e>
                <m:sup>
                  <m:r>
                    <m:t>−9</m:t>
                  </m:r>
                </m:sup>
              </m:sSup>
            </m:oMath>
          </w:p>
        </w:tc>
        <w:tc>
          <w:tcPr>
            <w:tcW w:type="dxa" w:w="1385"/>
          </w:tcPr>
          <w:p>
            <w:pPr>
              <w:jc w:val="center"/>
            </w:pPr>
            <w:r/>
            <w:r>
              <w:rPr>
                <w:rFonts w:ascii="Times New Roman" w:hAnsi="Times New Roman" w:eastAsia="SimSun"/>
                <w:b w:val="0"/>
                <w:sz w:val="21"/>
              </w:rPr>
              <w:t>4.206</w:t>
            </w:r>
          </w:p>
        </w:tc>
        <w:tc>
          <w:tcPr>
            <w:tcW w:type="dxa" w:w="1385"/>
          </w:tcPr>
          <w:p>
            <w:pPr>
              <w:jc w:val="center"/>
            </w:pPr>
            <w:r/>
            <m:oMath xmlns:mml="http://www.w3.org/1998/Math/MathML">
              <m:r>
                <m:t>6.345×</m:t>
              </m:r>
              <m:sSup>
                <m:e>
                  <m:r>
                    <m:t>10</m:t>
                  </m:r>
                </m:e>
                <m:sup>
                  <m:r>
                    <m:t>−9</m:t>
                  </m:r>
                </m:sup>
              </m:sSup>
            </m:oMath>
          </w:p>
        </w:tc>
      </w:tr>
      <w:tr>
        <w:tc>
          <w:tcPr>
            <w:tcW w:type="dxa" w:w="1385"/>
          </w:tcPr>
          <w:p>
            <w:pPr>
              <w:jc w:val="center"/>
            </w:pPr>
            <w:r/>
            <m:oMath xmlns:mml="http://www.w3.org/1998/Math/MathML">
              <m:r>
                <m:t>1.0×</m:t>
              </m:r>
              <m:sSup>
                <m:e>
                  <m:r>
                    <m:t>10</m:t>
                  </m:r>
                </m:e>
                <m:sup>
                  <m:r>
                    <m:t>−2</m:t>
                  </m:r>
                </m:sup>
              </m:sSup>
            </m:oMath>
          </w:p>
        </w:tc>
        <w:tc>
          <w:tcPr>
            <w:tcW w:type="dxa" w:w="1385"/>
          </w:tcPr>
          <w:p>
            <w:pPr>
              <w:jc w:val="center"/>
            </w:pPr>
            <w:r/>
            <m:oMath xmlns:mml="http://www.w3.org/1998/Math/MathML">
              <m:r>
                <m:t>9.990×</m:t>
              </m:r>
              <m:sSup>
                <m:e>
                  <m:r>
                    <m:t>10</m:t>
                  </m:r>
                </m:e>
                <m:sup>
                  <m:r>
                    <m:t>−3</m:t>
                  </m:r>
                </m:sup>
              </m:sSup>
            </m:oMath>
          </w:p>
        </w:tc>
        <w:tc>
          <w:tcPr>
            <w:tcW w:type="dxa" w:w="1385"/>
          </w:tcPr>
          <w:p>
            <w:pPr>
              <w:jc w:val="center"/>
            </w:pPr>
            <w:r/>
            <w:r>
              <w:rPr>
                <w:rFonts w:ascii="Times New Roman" w:hAnsi="Times New Roman" w:eastAsia="SimSun"/>
                <w:b w:val="0"/>
                <w:sz w:val="21"/>
              </w:rPr>
              <w:t>0.4908</w:t>
            </w:r>
          </w:p>
        </w:tc>
        <w:tc>
          <w:tcPr>
            <w:tcW w:type="dxa" w:w="1385"/>
          </w:tcPr>
          <w:p>
            <w:pPr>
              <w:jc w:val="center"/>
            </w:pPr>
            <w:r/>
            <m:oMath xmlns:mml="http://www.w3.org/1998/Math/MathML">
              <m:r>
                <m:t>5.365×</m:t>
              </m:r>
              <m:sSup>
                <m:e>
                  <m:r>
                    <m:t>10</m:t>
                  </m:r>
                </m:e>
                <m:sup>
                  <m:r>
                    <m:t>−9</m:t>
                  </m:r>
                </m:sup>
              </m:sSup>
            </m:oMath>
          </w:p>
        </w:tc>
        <w:tc>
          <w:tcPr>
            <w:tcW w:type="dxa" w:w="1385"/>
          </w:tcPr>
          <w:p>
            <w:pPr>
              <w:jc w:val="center"/>
            </w:pPr>
            <w:r/>
            <w:r>
              <w:rPr>
                <w:rFonts w:ascii="Times New Roman" w:hAnsi="Times New Roman" w:eastAsia="SimSun"/>
                <w:b w:val="0"/>
                <w:sz w:val="21"/>
              </w:rPr>
              <w:t>5.347</w:t>
            </w:r>
          </w:p>
        </w:tc>
        <w:tc>
          <w:tcPr>
            <w:tcW w:type="dxa" w:w="1385"/>
          </w:tcPr>
          <w:p>
            <w:pPr>
              <w:jc w:val="center"/>
            </w:pPr>
            <w:r/>
            <m:oMath xmlns:mml="http://www.w3.org/1998/Math/MathML">
              <m:r>
                <m:t>1.096×</m:t>
              </m:r>
              <m:sSup>
                <m:e>
                  <m:r>
                    <m:t>10</m:t>
                  </m:r>
                </m:e>
                <m:sup>
                  <m:r>
                    <m:t>−8</m:t>
                  </m:r>
                </m:sup>
              </m:sSup>
            </m:oMath>
          </w:p>
        </w:tc>
      </w:tr>
    </w:tbl>
    <w:p>
      <w:pPr>
        <w:spacing w:line="360" w:lineRule="auto"/>
        <w:ind w:firstLine="403"/>
      </w:pPr>
      <w:r>
        <w:rPr>
          <w:rFonts w:ascii="Times New Roman" w:hAnsi="Times New Roman" w:eastAsia="SimSun"/>
          <w:b w:val="0"/>
          <w:sz w:val="21"/>
        </w:rPr>
        <w:t xml:space="preserve">由表3可见，随着目标正向电流密度从 </w:t>
      </w:r>
      <m:oMath xmlns:mml="http://www.w3.org/1998/Math/MathML">
        <m:r>
          <m:t>1.0×</m:t>
        </m:r>
        <m:sSup>
          <m:e>
            <m:r>
              <m:t>10</m:t>
            </m:r>
          </m:e>
          <m:sup>
            <m:r>
              <m:t>−4</m:t>
            </m:r>
          </m:sup>
        </m:sSup>
      </m:oMath>
      <w:r>
        <w:rPr>
          <w:rFonts w:ascii="Times New Roman" w:hAnsi="Times New Roman" w:eastAsia="SimSun"/>
          <w:b w:val="0"/>
          <w:sz w:val="21"/>
        </w:rPr>
        <w:t xml:space="preserve"> A/cm^2 增至 </w:t>
      </w:r>
      <m:oMath xmlns:mml="http://www.w3.org/1998/Math/MathML">
        <m:r>
          <m:t>1.0×</m:t>
        </m:r>
        <m:sSup>
          <m:e>
            <m:r>
              <m:t>10</m:t>
            </m:r>
          </m:e>
          <m:sup>
            <m:r>
              <m:t>−2</m:t>
            </m:r>
          </m:sup>
        </m:sSup>
      </m:oMath>
      <w:r>
        <w:rPr>
          <w:rFonts w:ascii="Times New Roman" w:hAnsi="Times New Roman" w:eastAsia="SimSun"/>
          <w:b w:val="0"/>
          <w:sz w:val="21"/>
        </w:rPr>
        <w:t xml:space="preserve"> A/cm^2，</w:t>
      </w:r>
      <m:oMath xmlns:mml="http://www.w3.org/1998/Math/MathML">
        <m:f>
          <m:fPr>
            <m:type m:val="lin"/>
          </m:fPr>
          <m:num>
            <m:sSub>
              <m:e>
                <m:r>
                  <m:t>Q</m:t>
                </m:r>
              </m:e>
              <m:sub>
                <m:r>
                  <m:t>rr</m:t>
                </m:r>
              </m:sub>
            </m:sSub>
          </m:num>
          <m:den>
            <m:r>
              <m:t>A</m:t>
            </m:r>
          </m:den>
        </m:f>
      </m:oMath>
      <w:r>
        <w:rPr>
          <w:rFonts w:ascii="Times New Roman" w:hAnsi="Times New Roman" w:eastAsia="SimSun"/>
          <w:b w:val="0"/>
          <w:sz w:val="21"/>
        </w:rPr>
        <w:t xml:space="preserve"> 和 </w:t>
      </w:r>
      <m:oMath xmlns:mml="http://www.w3.org/1998/Math/MathML">
        <m:f>
          <m:fPr>
            <m:type m:val="lin"/>
          </m:fPr>
          <m:num>
            <m:sSub>
              <m:e>
                <m:r>
                  <m:t>Q</m:t>
                </m:r>
              </m:e>
              <m:sub>
                <m:r>
                  <m:t>stored</m:t>
                </m:r>
              </m:sub>
            </m:sSub>
          </m:num>
          <m:den>
            <m:r>
              <m:t>A</m:t>
            </m:r>
          </m:den>
        </m:f>
      </m:oMath>
      <w:r>
        <w:rPr>
          <w:rFonts w:ascii="Times New Roman" w:hAnsi="Times New Roman" w:eastAsia="SimSun"/>
          <w:b w:val="0"/>
          <w:sz w:val="21"/>
        </w:rPr>
        <w:t xml:space="preserve"> 均增加。相较于寿命扫描，该组实验改变的是正向注入强度，因而可用于检验 benchmark 对初始导通条件的敏感性。图4给出了恢复面电荷和存储移动面电荷随目标正向电流密度变化的趋势。该结果说明，本文基准不只包含单一工作点，而能够通过统一的数据格式和后处理脚本描述不同初始导通条件下的恢复行为。</w:t>
      </w:r>
    </w:p>
    <w:p>
      <w:pPr>
        <w:jc w:val="center"/>
      </w:pPr>
      <w:r>
        <w:drawing>
          <wp:inline xmlns:a="http://schemas.openxmlformats.org/drawingml/2006/main" xmlns:pic="http://schemas.openxmlformats.org/drawingml/2006/picture">
            <wp:extent cx="5303520" cy="2113722"/>
            <wp:docPr id="4" name="Picture 4"/>
            <wp:cNvGraphicFramePr>
              <a:graphicFrameLocks noChangeAspect="1"/>
            </wp:cNvGraphicFramePr>
            <a:graphic>
              <a:graphicData uri="http://schemas.openxmlformats.org/drawingml/2006/picture">
                <pic:pic>
                  <pic:nvPicPr>
                    <pic:cNvPr id="0" name="fig_pub_forward_current_sweep.png"/>
                    <pic:cNvPicPr/>
                  </pic:nvPicPr>
                  <pic:blipFill>
                    <a:blip r:embed="rId12"/>
                    <a:stretch>
                      <a:fillRect/>
                    </a:stretch>
                  </pic:blipFill>
                  <pic:spPr>
                    <a:xfrm>
                      <a:off x="0" y="0"/>
                      <a:ext cx="5303520" cy="2113722"/>
                    </a:xfrm>
                    <a:prstGeom prst="rect"/>
                  </pic:spPr>
                </pic:pic>
              </a:graphicData>
            </a:graphic>
          </wp:inline>
        </w:drawing>
      </w:r>
    </w:p>
    <w:p>
      <w:pPr>
        <w:spacing w:line="360" w:lineRule="auto"/>
        <w:jc w:val="center"/>
      </w:pPr>
      <w:r>
        <w:rPr>
          <w:rFonts w:ascii="Times New Roman" w:hAnsi="Times New Roman" w:eastAsia="SimSun"/>
          <w:b w:val="0"/>
          <w:sz w:val="21"/>
        </w:rPr>
        <w:t>图4  目标正向电流密度对反向恢复面电荷和存储移动面电荷的影响</w:t>
      </w:r>
    </w:p>
    <w:p>
      <w:pPr>
        <w:spacing w:line="360" w:lineRule="auto"/>
      </w:pPr>
      <w:r>
        <w:rPr>
          <w:rFonts w:ascii="Times New Roman" w:hAnsi="Times New Roman" w:eastAsia="SimSun"/>
          <w:b/>
          <w:sz w:val="24"/>
        </w:rPr>
        <w:t>3.5 时间步长敏感性</w:t>
      </w:r>
    </w:p>
    <w:p>
      <w:pPr>
        <w:spacing w:line="360" w:lineRule="auto"/>
        <w:ind w:firstLine="403"/>
      </w:pPr>
      <w:r>
        <w:rPr>
          <w:rFonts w:ascii="Times New Roman" w:hAnsi="Times New Roman" w:eastAsia="SimSun"/>
          <w:b w:val="0"/>
          <w:sz w:val="21"/>
        </w:rPr>
        <w:t xml:space="preserve">在 </w:t>
      </w:r>
      <m:oMath xmlns:mml="http://www.w3.org/1998/Math/MathML">
        <m:r>
          <m:t>τ=1.0×</m:t>
        </m:r>
        <m:sSup>
          <m:e>
            <m:r>
              <m:t>10</m:t>
            </m:r>
          </m:e>
          <m:sup>
            <m:r>
              <m:t>−6</m:t>
            </m:r>
          </m:sup>
        </m:sSup>
      </m:oMath>
      <w:r>
        <w:rPr>
          <w:rFonts w:ascii="Times New Roman" w:hAnsi="Times New Roman" w:eastAsia="SimSun"/>
          <w:b w:val="0"/>
          <w:sz w:val="21"/>
        </w:rPr>
        <w:t xml:space="preserve"> s、固定目标电流协议下，对时间步长进行扫描，结果如表4所示。</w:t>
      </w:r>
    </w:p>
    <w:p>
      <w:pPr>
        <w:spacing w:line="360" w:lineRule="auto"/>
        <w:ind w:firstLine="403"/>
      </w:pPr>
      <w:r>
        <w:rPr>
          <w:rFonts w:ascii="Times New Roman" w:hAnsi="Times New Roman" w:eastAsia="SimSun"/>
          <w:b w:val="0"/>
          <w:sz w:val="21"/>
        </w:rPr>
        <w:t>表4  固定目标电流协议下的时间步长扫描</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pPr>
              <w:jc w:val="center"/>
            </w:pPr>
            <w:r/>
            <w:r>
              <w:rPr>
                <w:rFonts w:ascii="Times New Roman" w:hAnsi="Times New Roman" w:eastAsia="SimSun"/>
                <w:b/>
                <w:sz w:val="21"/>
              </w:rPr>
              <w:t xml:space="preserve">时间步长 </w:t>
            </w:r>
            <m:oMath xmlns:mml="http://www.w3.org/1998/Math/MathML">
              <m:r>
                <m:t>Δt</m:t>
              </m:r>
            </m:oMath>
            <w:r>
              <w:rPr>
                <w:rFonts w:ascii="Times New Roman" w:hAnsi="Times New Roman" w:eastAsia="SimSun"/>
                <w:b/>
                <w:sz w:val="21"/>
              </w:rPr>
              <w:t xml:space="preserve"> / s</w:t>
            </w:r>
          </w:p>
        </w:tc>
        <w:tc>
          <w:tcPr>
            <w:tcW w:type="dxa" w:w="1662"/>
          </w:tcPr>
          <w:p>
            <w:pPr>
              <w:jc w:val="center"/>
            </w:pPr>
            <w:r/>
            <m:oMath xmlns:mml="http://www.w3.org/1998/Math/MathML">
              <m:f>
                <m:fPr>
                  <m:type m:val="lin"/>
                </m:fPr>
                <m:num>
                  <m:sSub>
                    <m:e>
                      <m:r>
                        <m:t>Q</m:t>
                      </m:r>
                    </m:e>
                    <m:sub>
                      <m:r>
                        <m:t>rr</m:t>
                      </m:r>
                    </m:sub>
                  </m:sSub>
                </m:num>
                <m:den>
                  <m:r>
                    <m:t>A</m:t>
                  </m:r>
                </m:den>
              </m:f>
            </m:oMath>
            <w:r>
              <w:rPr>
                <w:rFonts w:ascii="Times New Roman" w:hAnsi="Times New Roman" w:eastAsia="SimSun"/>
                <w:b/>
                <w:sz w:val="21"/>
              </w:rPr>
              <w:t xml:space="preserve"> / </w:t>
            </w:r>
            <m:oMath xmlns:mml="http://www.w3.org/1998/Math/MathML">
              <m:r>
                <m:t>C</m:t>
              </m:r>
              <m:r>
                <m:t>c</m:t>
              </m:r>
              <m:sSup>
                <m:e>
                  <m:r>
                    <m:t>m</m:t>
                  </m:r>
                </m:e>
                <m:sup>
                  <m:r>
                    <m:t>−2</m:t>
                  </m:r>
                </m:sup>
              </m:sSup>
            </m:oMath>
          </w:p>
        </w:tc>
        <w:tc>
          <w:tcPr>
            <w:tcW w:type="dxa" w:w="1662"/>
          </w:tcPr>
          <w:p>
            <w:pPr>
              <w:jc w:val="center"/>
            </w:pPr>
            <w:r/>
            <m:oMath xmlns:mml="http://www.w3.org/1998/Math/MathML">
              <m:f>
                <m:fPr>
                  <m:type m:val="lin"/>
                </m:fPr>
                <m:num>
                  <m:sSub>
                    <m:e>
                      <m:r>
                        <m:t>I</m:t>
                      </m:r>
                    </m:e>
                    <m:sub>
                      <m:r>
                        <m:t>rrm</m:t>
                      </m:r>
                    </m:sub>
                  </m:sSub>
                </m:num>
                <m:den>
                  <m:r>
                    <m:t>A</m:t>
                  </m:r>
                </m:den>
              </m:f>
            </m:oMath>
            <w:r>
              <w:rPr>
                <w:rFonts w:ascii="Times New Roman" w:hAnsi="Times New Roman" w:eastAsia="SimSun"/>
                <w:b/>
                <w:sz w:val="21"/>
              </w:rPr>
              <w:t xml:space="preserve"> / </w:t>
            </w:r>
            <m:oMath xmlns:mml="http://www.w3.org/1998/Math/MathML">
              <m:r>
                <m:t>A</m:t>
              </m:r>
              <m:r>
                <m:t>c</m:t>
              </m:r>
              <m:sSup>
                <m:e>
                  <m:r>
                    <m:t>m</m:t>
                  </m:r>
                </m:e>
                <m:sup>
                  <m:r>
                    <m:t>−2</m:t>
                  </m:r>
                </m:sup>
              </m:sSup>
            </m:oMath>
          </w:p>
        </w:tc>
        <w:tc>
          <w:tcPr>
            <w:tcW w:type="dxa" w:w="1662"/>
          </w:tcPr>
          <w:p>
            <w:pPr>
              <w:jc w:val="center"/>
            </w:pPr>
            <w:r/>
            <m:oMath xmlns:mml="http://www.w3.org/1998/Math/MathML">
              <m:sSub>
                <m:e>
                  <m:r>
                    <m:t>t</m:t>
                  </m:r>
                </m:e>
                <m:sub>
                  <m:r>
                    <m:t>rr</m:t>
                  </m:r>
                </m:sub>
              </m:sSub>
            </m:oMath>
            <w:r>
              <w:rPr>
                <w:rFonts w:ascii="Times New Roman" w:hAnsi="Times New Roman" w:eastAsia="SimSun"/>
                <w:b/>
                <w:sz w:val="21"/>
              </w:rPr>
              <w:t xml:space="preserve"> / s</w:t>
            </w:r>
          </w:p>
        </w:tc>
        <w:tc>
          <w:tcPr>
            <w:tcW w:type="dxa" w:w="1662"/>
          </w:tcPr>
          <w:p>
            <w:pPr>
              <w:jc w:val="center"/>
            </w:pPr>
            <w:r/>
            <m:oMath xmlns:mml="http://www.w3.org/1998/Math/MathML">
              <m:f>
                <m:fPr>
                  <m:type m:val="lin"/>
                </m:fPr>
                <m:num>
                  <m:sSub>
                    <m:e>
                      <m:r>
                        <m:t>Q</m:t>
                      </m:r>
                    </m:e>
                    <m:sub>
                      <m:r>
                        <m:t>stored</m:t>
                      </m:r>
                    </m:sub>
                  </m:sSub>
                </m:num>
                <m:den>
                  <m:r>
                    <m:t>A</m:t>
                  </m:r>
                </m:den>
              </m:f>
            </m:oMath>
            <w:r>
              <w:rPr>
                <w:rFonts w:ascii="Times New Roman" w:hAnsi="Times New Roman" w:eastAsia="SimSun"/>
                <w:b/>
                <w:sz w:val="21"/>
              </w:rPr>
              <w:t xml:space="preserve"> / </w:t>
            </w:r>
            <m:oMath xmlns:mml="http://www.w3.org/1998/Math/MathML">
              <m:r>
                <m:t>C</m:t>
              </m:r>
              <m:r>
                <m:t>c</m:t>
              </m:r>
              <m:sSup>
                <m:e>
                  <m:r>
                    <m:t>m</m:t>
                  </m:r>
                </m:e>
                <m:sup>
                  <m:r>
                    <m:t>−2</m:t>
                  </m:r>
                </m:sup>
              </m:sSup>
            </m:oMath>
          </w:p>
        </w:tc>
      </w:tr>
      <w:tr>
        <w:tc>
          <w:tcPr>
            <w:tcW w:type="dxa" w:w="1662"/>
          </w:tcPr>
          <w:p>
            <w:pPr>
              <w:jc w:val="center"/>
            </w:pPr>
            <w:r/>
            <m:oMath xmlns:mml="http://www.w3.org/1998/Math/MathML">
              <m:r>
                <m:t>5.0×</m:t>
              </m:r>
              <m:sSup>
                <m:e>
                  <m:r>
                    <m:t>10</m:t>
                  </m:r>
                </m:e>
                <m:sup>
                  <m:r>
                    <m:t>−9</m:t>
                  </m:r>
                </m:sup>
              </m:sSup>
            </m:oMath>
          </w:p>
        </w:tc>
        <w:tc>
          <w:tcPr>
            <w:tcW w:type="dxa" w:w="1662"/>
          </w:tcPr>
          <w:p>
            <w:pPr>
              <w:jc w:val="center"/>
            </w:pPr>
            <w:r/>
            <m:oMath xmlns:mml="http://www.w3.org/1998/Math/MathML">
              <m:r>
                <m:t>4.211294×</m:t>
              </m:r>
              <m:sSup>
                <m:e>
                  <m:r>
                    <m:t>10</m:t>
                  </m:r>
                </m:e>
                <m:sup>
                  <m:r>
                    <m:t>−9</m:t>
                  </m:r>
                </m:sup>
              </m:sSup>
            </m:oMath>
          </w:p>
        </w:tc>
        <w:tc>
          <w:tcPr>
            <w:tcW w:type="dxa" w:w="1662"/>
          </w:tcPr>
          <w:p>
            <w:pPr>
              <w:jc w:val="center"/>
            </w:pPr>
            <w:r/>
            <w:r>
              <w:rPr>
                <w:rFonts w:ascii="Times New Roman" w:hAnsi="Times New Roman" w:eastAsia="SimSun"/>
                <w:b w:val="0"/>
                <w:sz w:val="21"/>
              </w:rPr>
              <w:t>1.684</w:t>
            </w:r>
          </w:p>
        </w:tc>
        <w:tc>
          <w:tcPr>
            <w:tcW w:type="dxa" w:w="1662"/>
          </w:tcPr>
          <w:p>
            <w:pPr>
              <w:jc w:val="center"/>
            </w:pPr>
            <w:r/>
            <m:oMath xmlns:mml="http://www.w3.org/1998/Math/MathML">
              <m:r>
                <m:t>5.0×</m:t>
              </m:r>
              <m:sSup>
                <m:e>
                  <m:r>
                    <m:t>10</m:t>
                  </m:r>
                </m:e>
                <m:sup>
                  <m:r>
                    <m:t>−9</m:t>
                  </m:r>
                </m:sup>
              </m:sSup>
            </m:oMath>
          </w:p>
        </w:tc>
        <w:tc>
          <w:tcPr>
            <w:tcW w:type="dxa" w:w="1662"/>
          </w:tcPr>
          <w:p>
            <w:pPr>
              <w:jc w:val="center"/>
            </w:pPr>
            <w:r/>
            <m:oMath xmlns:mml="http://www.w3.org/1998/Math/MathML">
              <m:r>
                <m:t>6.345×</m:t>
              </m:r>
              <m:sSup>
                <m:e>
                  <m:r>
                    <m:t>10</m:t>
                  </m:r>
                </m:e>
                <m:sup>
                  <m:r>
                    <m:t>−9</m:t>
                  </m:r>
                </m:sup>
              </m:sSup>
            </m:oMath>
          </w:p>
        </w:tc>
      </w:tr>
      <w:tr>
        <w:tc>
          <w:tcPr>
            <w:tcW w:type="dxa" w:w="1662"/>
          </w:tcPr>
          <w:p>
            <w:pPr>
              <w:jc w:val="center"/>
            </w:pPr>
            <w:r/>
            <m:oMath xmlns:mml="http://www.w3.org/1998/Math/MathML">
              <m:r>
                <m:t>2.0×</m:t>
              </m:r>
              <m:sSup>
                <m:e>
                  <m:r>
                    <m:t>10</m:t>
                  </m:r>
                </m:e>
                <m:sup>
                  <m:r>
                    <m:t>−9</m:t>
                  </m:r>
                </m:sup>
              </m:sSup>
            </m:oMath>
          </w:p>
        </w:tc>
        <w:tc>
          <w:tcPr>
            <w:tcW w:type="dxa" w:w="1662"/>
          </w:tcPr>
          <w:p>
            <w:pPr>
              <w:jc w:val="center"/>
            </w:pPr>
            <w:r/>
            <m:oMath xmlns:mml="http://www.w3.org/1998/Math/MathML">
              <m:r>
                <m:t>4.211263×</m:t>
              </m:r>
              <m:sSup>
                <m:e>
                  <m:r>
                    <m:t>10</m:t>
                  </m:r>
                </m:e>
                <m:sup>
                  <m:r>
                    <m:t>−9</m:t>
                  </m:r>
                </m:sup>
              </m:sSup>
            </m:oMath>
          </w:p>
        </w:tc>
        <w:tc>
          <w:tcPr>
            <w:tcW w:type="dxa" w:w="1662"/>
          </w:tcPr>
          <w:p>
            <w:pPr>
              <w:jc w:val="center"/>
            </w:pPr>
            <w:r/>
            <w:r>
              <w:rPr>
                <w:rFonts w:ascii="Times New Roman" w:hAnsi="Times New Roman" w:eastAsia="SimSun"/>
                <w:b w:val="0"/>
                <w:sz w:val="21"/>
              </w:rPr>
              <w:t>4.206</w:t>
            </w:r>
          </w:p>
        </w:tc>
        <w:tc>
          <w:tcPr>
            <w:tcW w:type="dxa" w:w="1662"/>
          </w:tcPr>
          <w:p>
            <w:pPr>
              <w:jc w:val="center"/>
            </w:pPr>
            <w:r/>
            <m:oMath xmlns:mml="http://www.w3.org/1998/Math/MathML">
              <m:r>
                <m:t>2.0×</m:t>
              </m:r>
              <m:sSup>
                <m:e>
                  <m:r>
                    <m:t>10</m:t>
                  </m:r>
                </m:e>
                <m:sup>
                  <m:r>
                    <m:t>−9</m:t>
                  </m:r>
                </m:sup>
              </m:sSup>
            </m:oMath>
          </w:p>
        </w:tc>
        <w:tc>
          <w:tcPr>
            <w:tcW w:type="dxa" w:w="1662"/>
          </w:tcPr>
          <w:p>
            <w:pPr>
              <w:jc w:val="center"/>
            </w:pPr>
            <w:r/>
            <m:oMath xmlns:mml="http://www.w3.org/1998/Math/MathML">
              <m:r>
                <m:t>6.345×</m:t>
              </m:r>
              <m:sSup>
                <m:e>
                  <m:r>
                    <m:t>10</m:t>
                  </m:r>
                </m:e>
                <m:sup>
                  <m:r>
                    <m:t>−9</m:t>
                  </m:r>
                </m:sup>
              </m:sSup>
            </m:oMath>
          </w:p>
        </w:tc>
      </w:tr>
      <w:tr>
        <w:tc>
          <w:tcPr>
            <w:tcW w:type="dxa" w:w="1662"/>
          </w:tcPr>
          <w:p>
            <w:pPr>
              <w:jc w:val="center"/>
            </w:pPr>
            <w:r/>
            <m:oMath xmlns:mml="http://www.w3.org/1998/Math/MathML">
              <m:r>
                <m:t>1.0×</m:t>
              </m:r>
              <m:sSup>
                <m:e>
                  <m:r>
                    <m:t>10</m:t>
                  </m:r>
                </m:e>
                <m:sup>
                  <m:r>
                    <m:t>−9</m:t>
                  </m:r>
                </m:sup>
              </m:sSup>
            </m:oMath>
          </w:p>
        </w:tc>
        <w:tc>
          <w:tcPr>
            <w:tcW w:type="dxa" w:w="1662"/>
          </w:tcPr>
          <w:p>
            <w:pPr>
              <w:jc w:val="center"/>
            </w:pPr>
            <w:r/>
            <m:oMath xmlns:mml="http://www.w3.org/1998/Math/MathML">
              <m:r>
                <m:t>4.211155×</m:t>
              </m:r>
              <m:sSup>
                <m:e>
                  <m:r>
                    <m:t>10</m:t>
                  </m:r>
                </m:e>
                <m:sup>
                  <m:r>
                    <m:t>−9</m:t>
                  </m:r>
                </m:sup>
              </m:sSup>
            </m:oMath>
          </w:p>
        </w:tc>
        <w:tc>
          <w:tcPr>
            <w:tcW w:type="dxa" w:w="1662"/>
          </w:tcPr>
          <w:p>
            <w:pPr>
              <w:jc w:val="center"/>
            </w:pPr>
            <w:r/>
            <w:r>
              <w:rPr>
                <w:rFonts w:ascii="Times New Roman" w:hAnsi="Times New Roman" w:eastAsia="SimSun"/>
                <w:b w:val="0"/>
                <w:sz w:val="21"/>
              </w:rPr>
              <w:t>8.401</w:t>
            </w:r>
          </w:p>
        </w:tc>
        <w:tc>
          <w:tcPr>
            <w:tcW w:type="dxa" w:w="1662"/>
          </w:tcPr>
          <w:p>
            <w:pPr>
              <w:jc w:val="center"/>
            </w:pPr>
            <w:r/>
            <m:oMath xmlns:mml="http://www.w3.org/1998/Math/MathML">
              <m:r>
                <m:t>1.0×</m:t>
              </m:r>
              <m:sSup>
                <m:e>
                  <m:r>
                    <m:t>10</m:t>
                  </m:r>
                </m:e>
                <m:sup>
                  <m:r>
                    <m:t>−9</m:t>
                  </m:r>
                </m:sup>
              </m:sSup>
            </m:oMath>
          </w:p>
        </w:tc>
        <w:tc>
          <w:tcPr>
            <w:tcW w:type="dxa" w:w="1662"/>
          </w:tcPr>
          <w:p>
            <w:pPr>
              <w:jc w:val="center"/>
            </w:pPr>
            <w:r/>
            <m:oMath xmlns:mml="http://www.w3.org/1998/Math/MathML">
              <m:r>
                <m:t>6.345×</m:t>
              </m:r>
              <m:sSup>
                <m:e>
                  <m:r>
                    <m:t>10</m:t>
                  </m:r>
                </m:e>
                <m:sup>
                  <m:r>
                    <m:t>−9</m:t>
                  </m:r>
                </m:sup>
              </m:sSup>
            </m:oMath>
          </w:p>
        </w:tc>
      </w:tr>
    </w:tbl>
    <w:p>
      <w:pPr>
        <w:jc w:val="center"/>
      </w:pPr>
      <w:r>
        <w:drawing>
          <wp:inline xmlns:a="http://schemas.openxmlformats.org/drawingml/2006/main" xmlns:pic="http://schemas.openxmlformats.org/drawingml/2006/picture">
            <wp:extent cx="5303520" cy="2036859"/>
            <wp:docPr id="5" name="Picture 5"/>
            <wp:cNvGraphicFramePr>
              <a:graphicFrameLocks noChangeAspect="1"/>
            </wp:cNvGraphicFramePr>
            <a:graphic>
              <a:graphicData uri="http://schemas.openxmlformats.org/drawingml/2006/picture">
                <pic:pic>
                  <pic:nvPicPr>
                    <pic:cNvPr id="0" name="fig_pub_time_step_convergence.png"/>
                    <pic:cNvPicPr/>
                  </pic:nvPicPr>
                  <pic:blipFill>
                    <a:blip r:embed="rId13"/>
                    <a:stretch>
                      <a:fillRect/>
                    </a:stretch>
                  </pic:blipFill>
                  <pic:spPr>
                    <a:xfrm>
                      <a:off x="0" y="0"/>
                      <a:ext cx="5303520" cy="2036859"/>
                    </a:xfrm>
                    <a:prstGeom prst="rect"/>
                  </pic:spPr>
                </pic:pic>
              </a:graphicData>
            </a:graphic>
          </wp:inline>
        </w:drawing>
      </w:r>
    </w:p>
    <w:p>
      <w:pPr>
        <w:spacing w:line="360" w:lineRule="auto"/>
        <w:jc w:val="center"/>
      </w:pPr>
      <w:r>
        <w:rPr>
          <w:rFonts w:ascii="Times New Roman" w:hAnsi="Times New Roman" w:eastAsia="SimSun"/>
          <w:b w:val="0"/>
          <w:sz w:val="21"/>
        </w:rPr>
        <w:t>图5  固定目标电流协议下的时间步长收敛性</w:t>
      </w:r>
    </w:p>
    <w:p>
      <w:pPr>
        <w:spacing w:line="360" w:lineRule="auto"/>
        <w:ind w:firstLine="403"/>
      </w:pPr>
      <w:r>
        <w:rPr>
          <w:rFonts w:ascii="Times New Roman" w:hAnsi="Times New Roman" w:eastAsia="SimSun"/>
          <w:b w:val="0"/>
          <w:sz w:val="21"/>
        </w:rPr>
        <w:t>可以看到，</w:t>
      </w:r>
      <m:oMath xmlns:mml="http://www.w3.org/1998/Math/MathML">
        <m:f>
          <m:fPr>
            <m:type m:val="lin"/>
          </m:fPr>
          <m:num>
            <m:sSub>
              <m:e>
                <m:r>
                  <m:t>Q</m:t>
                </m:r>
              </m:e>
              <m:sub>
                <m:r>
                  <m:t>rr</m:t>
                </m:r>
              </m:sub>
            </m:sSub>
          </m:num>
          <m:den>
            <m:r>
              <m:t>A</m:t>
            </m:r>
          </m:den>
        </m:f>
      </m:oMath>
      <w:r>
        <w:rPr>
          <w:rFonts w:ascii="Times New Roman" w:hAnsi="Times New Roman" w:eastAsia="SimSun"/>
          <w:b w:val="0"/>
          <w:sz w:val="21"/>
        </w:rPr>
        <w:t xml:space="preserve"> 在三个时间步长下几乎不变，最大相对变化低于 0.004%；而 </w:t>
      </w:r>
      <m:oMath xmlns:mml="http://www.w3.org/1998/Math/MathML">
        <m:f>
          <m:fPr>
            <m:type m:val="lin"/>
          </m:fPr>
          <m:num>
            <m:sSub>
              <m:e>
                <m:r>
                  <m:t>I</m:t>
                </m:r>
              </m:e>
              <m:sub>
                <m:r>
                  <m:t>rrm</m:t>
                </m:r>
              </m:sub>
            </m:sSub>
          </m:num>
          <m:den>
            <m:r>
              <m:t>A</m:t>
            </m:r>
          </m:den>
        </m:f>
      </m:oMath>
      <w:r>
        <w:rPr>
          <w:rFonts w:ascii="Times New Roman" w:hAnsi="Times New Roman" w:eastAsia="SimSun"/>
          <w:b w:val="0"/>
          <w:sz w:val="21"/>
        </w:rPr>
        <w:t xml:space="preserve"> 从 1.684 A/cm^2 增至 8.401 A/cm^2，表现出显著时间步长依赖。其原因在于本文采用理想电压阶跃作为反向边界，反向恢复初期的窄脉冲峰值主要由最初几个时间点决定，峰值电流对时间离散分辨率十分敏感。相比之下，</w:t>
      </w:r>
      <m:oMath xmlns:mml="http://www.w3.org/1998/Math/MathML">
        <m:f>
          <m:fPr>
            <m:type m:val="lin"/>
          </m:fPr>
          <m:num>
            <m:sSub>
              <m:e>
                <m:r>
                  <m:t>Q</m:t>
                </m:r>
              </m:e>
              <m:sub>
                <m:r>
                  <m:t>rr</m:t>
                </m:r>
              </m:sub>
            </m:sSub>
          </m:num>
          <m:den>
            <m:r>
              <m:t>A</m:t>
            </m:r>
          </m:den>
        </m:f>
      </m:oMath>
      <w:r>
        <w:rPr>
          <w:rFonts w:ascii="Times New Roman" w:hAnsi="Times New Roman" w:eastAsia="SimSun"/>
          <w:b w:val="0"/>
          <w:sz w:val="21"/>
        </w:rPr>
        <w:t xml:space="preserve"> 是时间积分量，对单点峰值误差更稳健。图5给出了相对变化曲线。</w:t>
      </w:r>
    </w:p>
    <w:p>
      <w:pPr>
        <w:spacing w:line="360" w:lineRule="auto"/>
        <w:ind w:firstLine="403"/>
      </w:pPr>
      <w:r>
        <w:rPr>
          <w:rFonts w:ascii="Times New Roman" w:hAnsi="Times New Roman" w:eastAsia="SimSun"/>
          <w:b w:val="0"/>
          <w:sz w:val="21"/>
        </w:rPr>
        <w:t xml:space="preserve">该结果提示，在没有外部串联电阻、电感或实际驱动回路的理想阶跃 benchmark 中，应谨慎使用 </w:t>
      </w:r>
      <m:oMath xmlns:mml="http://www.w3.org/1998/Math/MathML">
        <m:sSub>
          <m:e>
            <m:r>
              <m:t>I</m:t>
            </m:r>
          </m:e>
          <m:sub>
            <m:r>
              <m:t>rrm</m:t>
            </m:r>
          </m:sub>
        </m:sSub>
      </m:oMath>
      <w:r>
        <w:rPr>
          <w:rFonts w:ascii="Times New Roman" w:hAnsi="Times New Roman" w:eastAsia="SimSun"/>
          <w:b w:val="0"/>
          <w:sz w:val="21"/>
        </w:rPr>
        <w:t xml:space="preserve"> 和 </w:t>
      </w:r>
      <m:oMath xmlns:mml="http://www.w3.org/1998/Math/MathML">
        <m:sSub>
          <m:e>
            <m:r>
              <m:t>t</m:t>
            </m:r>
          </m:e>
          <m:sub>
            <m:r>
              <m:t>rr</m:t>
            </m:r>
          </m:sub>
        </m:sSub>
      </m:oMath>
      <w:r>
        <w:rPr>
          <w:rFonts w:ascii="Times New Roman" w:hAnsi="Times New Roman" w:eastAsia="SimSun"/>
          <w:b w:val="0"/>
          <w:sz w:val="21"/>
        </w:rPr>
        <w:t xml:space="preserve"> 作为主评价指标。对于跨时间步长、跨代码或跨工具比较，</w:t>
      </w:r>
      <m:oMath xmlns:mml="http://www.w3.org/1998/Math/MathML">
        <m:f>
          <m:fPr>
            <m:type m:val="lin"/>
          </m:fPr>
          <m:num>
            <m:sSub>
              <m:e>
                <m:r>
                  <m:t>Q</m:t>
                </m:r>
              </m:e>
              <m:sub>
                <m:r>
                  <m:t>rr</m:t>
                </m:r>
              </m:sub>
            </m:sSub>
          </m:num>
          <m:den>
            <m:r>
              <m:t>A</m:t>
            </m:r>
          </m:den>
        </m:f>
      </m:oMath>
      <w:r>
        <w:rPr>
          <w:rFonts w:ascii="Times New Roman" w:hAnsi="Times New Roman" w:eastAsia="SimSun"/>
          <w:b w:val="0"/>
          <w:sz w:val="21"/>
        </w:rPr>
        <w:t xml:space="preserve"> 更适合作为主参考指标，峰值电流密度则应作为辅助量并附带时间步长说明。</w:t>
      </w:r>
    </w:p>
    <w:p>
      <w:pPr>
        <w:spacing w:line="360" w:lineRule="auto"/>
      </w:pPr>
      <w:r>
        <w:rPr>
          <w:rFonts w:ascii="Times New Roman" w:hAnsi="Times New Roman" w:eastAsia="SimSun"/>
          <w:b/>
          <w:sz w:val="24"/>
        </w:rPr>
        <w:t>3.6 网格密度收敛性</w:t>
      </w:r>
    </w:p>
    <w:p>
      <w:pPr>
        <w:spacing w:line="360" w:lineRule="auto"/>
        <w:ind w:firstLine="403"/>
      </w:pPr>
      <w:r>
        <w:rPr>
          <w:rFonts w:ascii="Times New Roman" w:hAnsi="Times New Roman" w:eastAsia="SimSun"/>
          <w:b w:val="0"/>
          <w:sz w:val="21"/>
        </w:rPr>
        <w:t>在固定正向电压协议、</w:t>
      </w:r>
      <m:oMath xmlns:mml="http://www.w3.org/1998/Math/MathML">
        <m:r>
          <m:t>τ=1.0×</m:t>
        </m:r>
        <m:sSup>
          <m:e>
            <m:r>
              <m:t>10</m:t>
            </m:r>
          </m:e>
          <m:sup>
            <m:r>
              <m:t>−6</m:t>
            </m:r>
          </m:sup>
        </m:sSup>
      </m:oMath>
      <w:r>
        <w:rPr>
          <w:rFonts w:ascii="Times New Roman" w:hAnsi="Times New Roman" w:eastAsia="SimSun"/>
          <w:b w:val="0"/>
          <w:sz w:val="21"/>
        </w:rPr>
        <w:t xml:space="preserve"> s 和 </w:t>
      </w:r>
      <m:oMath xmlns:mml="http://www.w3.org/1998/Math/MathML">
        <m:r>
          <m:t>Δt=2.0×</m:t>
        </m:r>
        <m:sSup>
          <m:e>
            <m:r>
              <m:t>10</m:t>
            </m:r>
          </m:e>
          <m:sup>
            <m:r>
              <m:t>−9</m:t>
            </m:r>
          </m:sup>
        </m:sSup>
      </m:oMath>
      <w:r>
        <w:rPr>
          <w:rFonts w:ascii="Times New Roman" w:hAnsi="Times New Roman" w:eastAsia="SimSun"/>
          <w:b w:val="0"/>
          <w:sz w:val="21"/>
        </w:rPr>
        <w:t xml:space="preserve"> s 条件下，本文测试了 </w:t>
      </w:r>
      <m:oMath xmlns:mml="http://www.w3.org/1998/Math/MathML">
        <m:r>
          <m:t>5.0×</m:t>
        </m:r>
        <m:sSup>
          <m:e>
            <m:r>
              <m:t>10</m:t>
            </m:r>
          </m:e>
          <m:sup>
            <m:r>
              <m:t>−7</m:t>
            </m:r>
          </m:sup>
        </m:sSup>
      </m:oMath>
      <w:r>
        <w:rPr>
          <w:rFonts w:ascii="Times New Roman" w:hAnsi="Times New Roman" w:eastAsia="SimSun"/>
          <w:b w:val="0"/>
          <w:sz w:val="21"/>
        </w:rPr>
        <w:t xml:space="preserve"> cm、</w:t>
      </w:r>
      <m:oMath xmlns:mml="http://www.w3.org/1998/Math/MathML">
        <m:r>
          <m:t>2.0×</m:t>
        </m:r>
        <m:sSup>
          <m:e>
            <m:r>
              <m:t>10</m:t>
            </m:r>
          </m:e>
          <m:sup>
            <m:r>
              <m:t>−7</m:t>
            </m:r>
          </m:sup>
        </m:sSup>
      </m:oMath>
      <w:r>
        <w:rPr>
          <w:rFonts w:ascii="Times New Roman" w:hAnsi="Times New Roman" w:eastAsia="SimSun"/>
          <w:b w:val="0"/>
          <w:sz w:val="21"/>
        </w:rPr>
        <w:t xml:space="preserve"> cm 和 </w:t>
      </w:r>
      <m:oMath xmlns:mml="http://www.w3.org/1998/Math/MathML">
        <m:r>
          <m:t>1.0×</m:t>
        </m:r>
        <m:sSup>
          <m:e>
            <m:r>
              <m:t>10</m:t>
            </m:r>
          </m:e>
          <m:sup>
            <m:r>
              <m:t>−7</m:t>
            </m:r>
          </m:sup>
        </m:sSup>
      </m:oMath>
      <w:r>
        <w:rPr>
          <w:rFonts w:ascii="Times New Roman" w:hAnsi="Times New Roman" w:eastAsia="SimSun"/>
          <w:b w:val="0"/>
          <w:sz w:val="21"/>
        </w:rPr>
        <w:t xml:space="preserve"> cm 三种过渡区网格密度。结果显示，网格加密过程中 </w:t>
      </w:r>
      <m:oMath xmlns:mml="http://www.w3.org/1998/Math/MathML">
        <m:f>
          <m:fPr>
            <m:type m:val="lin"/>
          </m:fPr>
          <m:num>
            <m:sSub>
              <m:e>
                <m:r>
                  <m:t>Q</m:t>
                </m:r>
              </m:e>
              <m:sub>
                <m:r>
                  <m:t>rr</m:t>
                </m:r>
              </m:sub>
            </m:sSub>
          </m:num>
          <m:den>
            <m:r>
              <m:t>A</m:t>
            </m:r>
          </m:den>
        </m:f>
      </m:oMath>
      <w:r>
        <w:rPr>
          <w:rFonts w:ascii="Times New Roman" w:hAnsi="Times New Roman" w:eastAsia="SimSun"/>
          <w:b w:val="0"/>
          <w:sz w:val="21"/>
        </w:rPr>
        <w:t xml:space="preserve"> 相对变化约为 0.03%，</w:t>
      </w:r>
      <m:oMath xmlns:mml="http://www.w3.org/1998/Math/MathML">
        <m:f>
          <m:fPr>
            <m:type m:val="lin"/>
          </m:fPr>
          <m:num>
            <m:sSub>
              <m:e>
                <m:r>
                  <m:t>I</m:t>
                </m:r>
              </m:e>
              <m:sub>
                <m:r>
                  <m:t>rrm</m:t>
                </m:r>
              </m:sub>
            </m:sSub>
          </m:num>
          <m:den>
            <m:r>
              <m:t>A</m:t>
            </m:r>
          </m:den>
        </m:f>
      </m:oMath>
      <w:r>
        <w:rPr>
          <w:rFonts w:ascii="Times New Roman" w:hAnsi="Times New Roman" w:eastAsia="SimSun"/>
          <w:b w:val="0"/>
          <w:sz w:val="21"/>
        </w:rPr>
        <w:t xml:space="preserve"> 相对变化约为 0.04%，运行时间由约 1.28 s 增加到 4.48 s。图6显示了网格收敛结果。</w:t>
      </w:r>
    </w:p>
    <w:p>
      <w:pPr>
        <w:jc w:val="center"/>
      </w:pPr>
      <w:r>
        <w:drawing>
          <wp:inline xmlns:a="http://schemas.openxmlformats.org/drawingml/2006/main" xmlns:pic="http://schemas.openxmlformats.org/drawingml/2006/picture">
            <wp:extent cx="5303520" cy="2036859"/>
            <wp:docPr id="6" name="Picture 6"/>
            <wp:cNvGraphicFramePr>
              <a:graphicFrameLocks noChangeAspect="1"/>
            </wp:cNvGraphicFramePr>
            <a:graphic>
              <a:graphicData uri="http://schemas.openxmlformats.org/drawingml/2006/picture">
                <pic:pic>
                  <pic:nvPicPr>
                    <pic:cNvPr id="0" name="fig_pub_mesh_convergence.png"/>
                    <pic:cNvPicPr/>
                  </pic:nvPicPr>
                  <pic:blipFill>
                    <a:blip r:embed="rId14"/>
                    <a:stretch>
                      <a:fillRect/>
                    </a:stretch>
                  </pic:blipFill>
                  <pic:spPr>
                    <a:xfrm>
                      <a:off x="0" y="0"/>
                      <a:ext cx="5303520" cy="2036859"/>
                    </a:xfrm>
                    <a:prstGeom prst="rect"/>
                  </pic:spPr>
                </pic:pic>
              </a:graphicData>
            </a:graphic>
          </wp:inline>
        </w:drawing>
      </w:r>
    </w:p>
    <w:p>
      <w:pPr>
        <w:spacing w:line="360" w:lineRule="auto"/>
        <w:jc w:val="center"/>
      </w:pPr>
      <w:r>
        <w:rPr>
          <w:rFonts w:ascii="Times New Roman" w:hAnsi="Times New Roman" w:eastAsia="SimSun"/>
          <w:b w:val="0"/>
          <w:sz w:val="21"/>
        </w:rPr>
        <w:t>图6  固定正向电压协议下的网格密度收敛性</w:t>
      </w:r>
    </w:p>
    <w:p>
      <w:pPr>
        <w:spacing w:line="360" w:lineRule="auto"/>
        <w:ind w:firstLine="403"/>
      </w:pPr>
      <w:r>
        <w:rPr>
          <w:rFonts w:ascii="Times New Roman" w:hAnsi="Times New Roman" w:eastAsia="SimSun"/>
          <w:b w:val="0"/>
          <w:sz w:val="21"/>
        </w:rPr>
        <w:t>上述结果说明，在当前一维 PIN 结构和阶跃掺杂条件下，默认网格密度已经能够稳定提取恢复电荷和峰值电流。同时，全部扫描数据规模较小，适合在普通工作站或笔记本上复跑。这是该基准作为开放参考问题的重要条件。</w:t>
      </w:r>
    </w:p>
    <w:p>
      <w:pPr>
        <w:spacing w:line="360" w:lineRule="auto"/>
      </w:pPr>
      <w:r>
        <w:rPr>
          <w:rFonts w:ascii="Times New Roman" w:hAnsi="Times New Roman" w:eastAsia="SimSun"/>
          <w:b/>
          <w:sz w:val="28"/>
        </w:rPr>
        <w:t>4 开放基准的复现性意义与局限</w:t>
      </w:r>
    </w:p>
    <w:p>
      <w:pPr>
        <w:spacing w:line="360" w:lineRule="auto"/>
        <w:ind w:firstLine="403"/>
      </w:pPr>
      <w:r>
        <w:rPr>
          <w:rFonts w:ascii="Times New Roman" w:hAnsi="Times New Roman" w:eastAsia="SimSun"/>
          <w:b w:val="0"/>
          <w:sz w:val="21"/>
        </w:rPr>
        <w:t>本文基准的主要价值并非替代商业 TCAD 对真实器件的高精度预测，而是提供一个可审计的最小完整流程。该流程包含器件结构、物理模型、参考面积、网格、偏置历史、瞬态波形、指标提取脚本和收敛性检查。对于商业 TCAD 论文而言，受授权软件和专有模型限制，完全公开输入 deck、网格和后处理脚本并不总是可行；而开源基准能够补充这一不足，使研究者在不依赖专有环境的情况下复查反向恢复仿真的基本数值行为。</w:t>
      </w:r>
    </w:p>
    <w:p>
      <w:pPr>
        <w:spacing w:line="360" w:lineRule="auto"/>
        <w:ind w:firstLine="403"/>
      </w:pPr>
      <w:r>
        <w:rPr>
          <w:rFonts w:ascii="Times New Roman" w:hAnsi="Times New Roman" w:eastAsia="SimSun"/>
          <w:b w:val="0"/>
          <w:sz w:val="21"/>
        </w:rPr>
        <w:t xml:space="preserve">同时，本文基准具有明确局限。第一，模型为一维硅 PIN 二极管，不包含真实功率器件的终端结构、边缘电场、封装寄生和工艺非均匀性。第二，物理模型采用简化漂移-扩散和 SRH 复合，未考虑温度耦合、Auger 复合、复杂陷阱分布、场依赖寿命或实测参数校准。第三，反向切换边界为理想电压阶跃，缺少实际测试电路中的串联电阻、电感和驱动源动态，因此峰值电流密度不宜直接用于工程损耗预测。第四，参考面积 </w:t>
      </w:r>
      <m:oMath xmlns:mml="http://www.w3.org/1998/Math/MathML">
        <m:r>
          <m:t>A=1.0</m:t>
        </m:r>
      </m:oMath>
      <w:r>
        <w:rPr>
          <w:rFonts w:ascii="Times New Roman" w:hAnsi="Times New Roman" w:eastAsia="SimSun"/>
          <w:b w:val="0"/>
          <w:sz w:val="21"/>
        </w:rPr>
        <w:t xml:space="preserve"> cm^2 仅用于归一化和基准比较，并不代表具体器件面积。第五，本文尚未进行与商业 TCAD 或实验波形的定量对比，因此结论限于所定义的开放基准内部。</w:t>
      </w:r>
    </w:p>
    <w:p>
      <w:pPr>
        <w:spacing w:line="360" w:lineRule="auto"/>
        <w:ind w:firstLine="403"/>
      </w:pPr>
      <w:r>
        <w:rPr>
          <w:rFonts w:ascii="Times New Roman" w:hAnsi="Times New Roman" w:eastAsia="SimSun"/>
          <w:b w:val="0"/>
          <w:sz w:val="21"/>
        </w:rPr>
        <w:t>后续工作可从三个方向扩展：一是加入外部电路边界，减弱理想电压阶跃导致的峰值电流离散敏感性；二是根据具体实验器件引入真实面积、串联电阻和封装寄生，使结果更便于与实验或数据手册对照；三是在保持输入公开的前提下扩展到二维结构、温度扫描和跨工具验证，从而进一步提高基准的普适性。</w:t>
      </w:r>
    </w:p>
    <w:p>
      <w:pPr>
        <w:spacing w:line="360" w:lineRule="auto"/>
      </w:pPr>
      <w:r>
        <w:rPr>
          <w:rFonts w:ascii="Times New Roman" w:hAnsi="Times New Roman" w:eastAsia="SimSun"/>
          <w:b/>
          <w:sz w:val="28"/>
        </w:rPr>
        <w:t>5 结论</w:t>
      </w:r>
    </w:p>
    <w:p>
      <w:pPr>
        <w:spacing w:line="360" w:lineRule="auto"/>
        <w:ind w:firstLine="403"/>
      </w:pPr>
      <w:r>
        <w:rPr>
          <w:rFonts w:ascii="Times New Roman" w:hAnsi="Times New Roman" w:eastAsia="SimSun"/>
          <w:b w:val="0"/>
          <w:sz w:val="21"/>
        </w:rPr>
        <w:t xml:space="preserve">本文基于开源 DEVSIM 建立了一维硅 PIN 二极管反向恢复可复现仿真基准，公开了器件结构、参考面积、偏置协议、瞬态波形和指标提取方法。研究表明，固定目标正向电流密度协议比固定正向电压协议更适合比较寿命效应；在 </w:t>
      </w:r>
      <m:oMath xmlns:mml="http://www.w3.org/1998/Math/MathML">
        <m:sSub>
          <m:e>
            <m:r>
              <m:t>J</m:t>
            </m:r>
          </m:e>
          <m:sub>
            <m:r>
              <m:t>F</m:t>
            </m:r>
          </m:sub>
        </m:sSub>
        <m:r>
          <m:t>=1.0×</m:t>
        </m:r>
        <m:sSup>
          <m:e>
            <m:r>
              <m:t>10</m:t>
            </m:r>
          </m:e>
          <m:sup>
            <m:r>
              <m:t>−3</m:t>
            </m:r>
          </m:sup>
        </m:sSup>
      </m:oMath>
      <w:r>
        <w:rPr>
          <w:rFonts w:ascii="Times New Roman" w:hAnsi="Times New Roman" w:eastAsia="SimSun"/>
          <w:b w:val="0"/>
          <w:sz w:val="21"/>
        </w:rPr>
        <w:t xml:space="preserve"> A/cm^2 条件下，寿命由 </w:t>
      </w:r>
      <m:oMath xmlns:mml="http://www.w3.org/1998/Math/MathML">
        <m:r>
          <m:t>1.0×</m:t>
        </m:r>
        <m:sSup>
          <m:e>
            <m:r>
              <m:t>10</m:t>
            </m:r>
          </m:e>
          <m:sup>
            <m:r>
              <m:t>−8</m:t>
            </m:r>
          </m:sup>
        </m:sSup>
      </m:oMath>
      <w:r>
        <w:rPr>
          <w:rFonts w:ascii="Times New Roman" w:hAnsi="Times New Roman" w:eastAsia="SimSun"/>
          <w:b w:val="0"/>
          <w:sz w:val="21"/>
        </w:rPr>
        <w:t xml:space="preserve"> s 增至 </w:t>
      </w:r>
      <m:oMath xmlns:mml="http://www.w3.org/1998/Math/MathML">
        <m:r>
          <m:t>1.0×</m:t>
        </m:r>
        <m:sSup>
          <m:e>
            <m:r>
              <m:t>10</m:t>
            </m:r>
          </m:e>
          <m:sup>
            <m:r>
              <m:t>−5</m:t>
            </m:r>
          </m:sup>
        </m:sSup>
      </m:oMath>
      <w:r>
        <w:rPr>
          <w:rFonts w:ascii="Times New Roman" w:hAnsi="Times New Roman" w:eastAsia="SimSun"/>
          <w:b w:val="0"/>
          <w:sz w:val="21"/>
        </w:rPr>
        <w:t xml:space="preserve"> s 时，</w:t>
      </w:r>
      <m:oMath xmlns:mml="http://www.w3.org/1998/Math/MathML">
        <m:f>
          <m:fPr>
            <m:type m:val="lin"/>
          </m:fPr>
          <m:num>
            <m:sSub>
              <m:e>
                <m:r>
                  <m:t>Q</m:t>
                </m:r>
              </m:e>
              <m:sub>
                <m:r>
                  <m:t>rr</m:t>
                </m:r>
              </m:sub>
            </m:sSub>
          </m:num>
          <m:den>
            <m:r>
              <m:t>A</m:t>
            </m:r>
          </m:den>
        </m:f>
      </m:oMath>
      <w:r>
        <w:rPr>
          <w:rFonts w:ascii="Times New Roman" w:hAnsi="Times New Roman" w:eastAsia="SimSun"/>
          <w:b w:val="0"/>
          <w:sz w:val="21"/>
        </w:rPr>
        <w:t xml:space="preserve"> 由 </w:t>
      </w:r>
      <m:oMath xmlns:mml="http://www.w3.org/1998/Math/MathML">
        <m:r>
          <m:t>3.495×</m:t>
        </m:r>
        <m:sSup>
          <m:e>
            <m:r>
              <m:t>10</m:t>
            </m:r>
          </m:e>
          <m:sup>
            <m:r>
              <m:t>−9</m:t>
            </m:r>
          </m:sup>
        </m:sSup>
      </m:oMath>
      <w:r>
        <w:rPr>
          <w:rFonts w:ascii="Times New Roman" w:hAnsi="Times New Roman" w:eastAsia="SimSun"/>
          <w:b w:val="0"/>
          <w:sz w:val="21"/>
        </w:rPr>
        <w:t xml:space="preserve"> C/cm^2 增至 </w:t>
      </w:r>
      <m:oMath xmlns:mml="http://www.w3.org/1998/Math/MathML">
        <m:r>
          <m:t>4.297×</m:t>
        </m:r>
        <m:sSup>
          <m:e>
            <m:r>
              <m:t>10</m:t>
            </m:r>
          </m:e>
          <m:sup>
            <m:r>
              <m:t>−9</m:t>
            </m:r>
          </m:sup>
        </m:sSup>
      </m:oMath>
      <w:r>
        <w:rPr>
          <w:rFonts w:ascii="Times New Roman" w:hAnsi="Times New Roman" w:eastAsia="SimSun"/>
          <w:b w:val="0"/>
          <w:sz w:val="21"/>
        </w:rPr>
        <w:t xml:space="preserve"> C/cm^2，存储移动面电荷由 </w:t>
      </w:r>
      <m:oMath xmlns:mml="http://www.w3.org/1998/Math/MathML">
        <m:r>
          <m:t>3.478×</m:t>
        </m:r>
        <m:sSup>
          <m:e>
            <m:r>
              <m:t>10</m:t>
            </m:r>
          </m:e>
          <m:sup>
            <m:r>
              <m:t>−9</m:t>
            </m:r>
          </m:sup>
        </m:sSup>
      </m:oMath>
      <w:r>
        <w:rPr>
          <w:rFonts w:ascii="Times New Roman" w:hAnsi="Times New Roman" w:eastAsia="SimSun"/>
          <w:b w:val="0"/>
          <w:sz w:val="21"/>
        </w:rPr>
        <w:t xml:space="preserve"> C/cm^2 增至 </w:t>
      </w:r>
      <m:oMath xmlns:mml="http://www.w3.org/1998/Math/MathML">
        <m:r>
          <m:t>6.687×</m:t>
        </m:r>
        <m:sSup>
          <m:e>
            <m:r>
              <m:t>10</m:t>
            </m:r>
          </m:e>
          <m:sup>
            <m:r>
              <m:t>−9</m:t>
            </m:r>
          </m:sup>
        </m:sSup>
      </m:oMath>
      <w:r>
        <w:rPr>
          <w:rFonts w:ascii="Times New Roman" w:hAnsi="Times New Roman" w:eastAsia="SimSun"/>
          <w:b w:val="0"/>
          <w:sz w:val="21"/>
        </w:rPr>
        <w:t xml:space="preserve"> C/cm^2。目标正向电流密度扫描进一步表明，</w:t>
      </w:r>
      <m:oMath xmlns:mml="http://www.w3.org/1998/Math/MathML">
        <m:sSub>
          <m:e>
            <m:r>
              <m:t>J</m:t>
            </m:r>
          </m:e>
          <m:sub>
            <m:r>
              <m:t>F</m:t>
            </m:r>
          </m:sub>
        </m:sSub>
      </m:oMath>
      <w:r>
        <w:rPr>
          <w:rFonts w:ascii="Times New Roman" w:hAnsi="Times New Roman" w:eastAsia="SimSun"/>
          <w:b w:val="0"/>
          <w:sz w:val="21"/>
        </w:rPr>
        <w:t xml:space="preserve"> 从 </w:t>
      </w:r>
      <m:oMath xmlns:mml="http://www.w3.org/1998/Math/MathML">
        <m:r>
          <m:t>1.0×</m:t>
        </m:r>
        <m:sSup>
          <m:e>
            <m:r>
              <m:t>10</m:t>
            </m:r>
          </m:e>
          <m:sup>
            <m:r>
              <m:t>−4</m:t>
            </m:r>
          </m:sup>
        </m:sSup>
      </m:oMath>
      <w:r>
        <w:rPr>
          <w:rFonts w:ascii="Times New Roman" w:hAnsi="Times New Roman" w:eastAsia="SimSun"/>
          <w:b w:val="0"/>
          <w:sz w:val="21"/>
        </w:rPr>
        <w:t xml:space="preserve"> A/cm^2 增至 </w:t>
      </w:r>
      <m:oMath xmlns:mml="http://www.w3.org/1998/Math/MathML">
        <m:r>
          <m:t>1.0×</m:t>
        </m:r>
        <m:sSup>
          <m:e>
            <m:r>
              <m:t>10</m:t>
            </m:r>
          </m:e>
          <m:sup>
            <m:r>
              <m:t>−2</m:t>
            </m:r>
          </m:sup>
        </m:sSup>
      </m:oMath>
      <w:r>
        <w:rPr>
          <w:rFonts w:ascii="Times New Roman" w:hAnsi="Times New Roman" w:eastAsia="SimSun"/>
          <w:b w:val="0"/>
          <w:sz w:val="21"/>
        </w:rPr>
        <w:t xml:space="preserve"> A/cm^2 时，</w:t>
      </w:r>
      <m:oMath xmlns:mml="http://www.w3.org/1998/Math/MathML">
        <m:f>
          <m:fPr>
            <m:type m:val="lin"/>
          </m:fPr>
          <m:num>
            <m:sSub>
              <m:e>
                <m:r>
                  <m:t>Q</m:t>
                </m:r>
              </m:e>
              <m:sub>
                <m:r>
                  <m:t>rr</m:t>
                </m:r>
              </m:sub>
            </m:sSub>
          </m:num>
          <m:den>
            <m:r>
              <m:t>A</m:t>
            </m:r>
          </m:den>
        </m:f>
      </m:oMath>
      <w:r>
        <w:rPr>
          <w:rFonts w:ascii="Times New Roman" w:hAnsi="Times New Roman" w:eastAsia="SimSun"/>
          <w:b w:val="0"/>
          <w:sz w:val="21"/>
        </w:rPr>
        <w:t xml:space="preserve"> 从 </w:t>
      </w:r>
      <m:oMath xmlns:mml="http://www.w3.org/1998/Math/MathML">
        <m:r>
          <m:t>3.772×</m:t>
        </m:r>
        <m:sSup>
          <m:e>
            <m:r>
              <m:t>10</m:t>
            </m:r>
          </m:e>
          <m:sup>
            <m:r>
              <m:t>−9</m:t>
            </m:r>
          </m:sup>
        </m:sSup>
      </m:oMath>
      <w:r>
        <w:rPr>
          <w:rFonts w:ascii="Times New Roman" w:hAnsi="Times New Roman" w:eastAsia="SimSun"/>
          <w:b w:val="0"/>
          <w:sz w:val="21"/>
        </w:rPr>
        <w:t xml:space="preserve"> C/cm^2 增至 </w:t>
      </w:r>
      <m:oMath xmlns:mml="http://www.w3.org/1998/Math/MathML">
        <m:r>
          <m:t>5.365×</m:t>
        </m:r>
        <m:sSup>
          <m:e>
            <m:r>
              <m:t>10</m:t>
            </m:r>
          </m:e>
          <m:sup>
            <m:r>
              <m:t>−9</m:t>
            </m:r>
          </m:sup>
        </m:sSup>
      </m:oMath>
      <w:r>
        <w:rPr>
          <w:rFonts w:ascii="Times New Roman" w:hAnsi="Times New Roman" w:eastAsia="SimSun"/>
          <w:b w:val="0"/>
          <w:sz w:val="21"/>
        </w:rPr>
        <w:t xml:space="preserve"> C/cm^2。时间步长扫描显示，积分电荷 </w:t>
      </w:r>
      <m:oMath xmlns:mml="http://www.w3.org/1998/Math/MathML">
        <m:f>
          <m:fPr>
            <m:type m:val="lin"/>
          </m:fPr>
          <m:num>
            <m:sSub>
              <m:e>
                <m:r>
                  <m:t>Q</m:t>
                </m:r>
              </m:e>
              <m:sub>
                <m:r>
                  <m:t>rr</m:t>
                </m:r>
              </m:sub>
            </m:sSub>
          </m:num>
          <m:den>
            <m:r>
              <m:t>A</m:t>
            </m:r>
          </m:den>
        </m:f>
      </m:oMath>
      <w:r>
        <w:rPr>
          <w:rFonts w:ascii="Times New Roman" w:hAnsi="Times New Roman" w:eastAsia="SimSun"/>
          <w:b w:val="0"/>
          <w:sz w:val="21"/>
        </w:rPr>
        <w:t xml:space="preserve"> 对时间步长变化具有较好稳定性，而峰值电流密度 </w:t>
      </w:r>
      <m:oMath xmlns:mml="http://www.w3.org/1998/Math/MathML">
        <m:f>
          <m:fPr>
            <m:type m:val="lin"/>
          </m:fPr>
          <m:num>
            <m:sSub>
              <m:e>
                <m:r>
                  <m:t>I</m:t>
                </m:r>
              </m:e>
              <m:sub>
                <m:r>
                  <m:t>rrm</m:t>
                </m:r>
              </m:sub>
            </m:sSub>
          </m:num>
          <m:den>
            <m:r>
              <m:t>A</m:t>
            </m:r>
          </m:den>
        </m:f>
      </m:oMath>
      <w:r>
        <w:rPr>
          <w:rFonts w:ascii="Times New Roman" w:hAnsi="Times New Roman" w:eastAsia="SimSun"/>
          <w:b w:val="0"/>
          <w:sz w:val="21"/>
        </w:rPr>
        <w:t xml:space="preserve"> 在理想电压阶跃下高度依赖时间分辨率。网格扫描表明，当前默认网格能够稳定提取主要指标。本文结果说明，开放代码、开放原始波形和开放后处理流程能够为反向恢复仿真提供透明的参考基准，并为后续跨工具比较和更复杂器件建模奠定基础。</w:t>
      </w:r>
    </w:p>
    <w:p>
      <w:pPr>
        <w:spacing w:line="360" w:lineRule="auto"/>
      </w:pPr>
      <w:r>
        <w:rPr>
          <w:rFonts w:ascii="Times New Roman" w:hAnsi="Times New Roman" w:eastAsia="SimSun"/>
          <w:b/>
          <w:sz w:val="28"/>
        </w:rPr>
        <w:t>参考文献</w:t>
      </w:r>
    </w:p>
    <w:p>
      <w:pPr>
        <w:spacing w:line="360" w:lineRule="auto"/>
        <w:ind w:left="288" w:hanging="288"/>
      </w:pPr>
      <w:r>
        <w:rPr>
          <w:rFonts w:ascii="Times New Roman" w:hAnsi="Times New Roman" w:eastAsia="SimSun"/>
          <w:b w:val="0"/>
          <w:sz w:val="21"/>
        </w:rPr>
        <w:t>[1] SZE S M, NG K K. Physics of Semiconductor Devices[M]. 3rd ed. Hoboken: Wiley, 2006.</w:t>
      </w:r>
    </w:p>
    <w:p>
      <w:pPr>
        <w:spacing w:line="360" w:lineRule="auto"/>
        <w:ind w:left="288" w:hanging="288"/>
      </w:pPr>
      <w:r>
        <w:rPr>
          <w:rFonts w:ascii="Times New Roman" w:hAnsi="Times New Roman" w:eastAsia="SimSun"/>
          <w:b w:val="0"/>
          <w:sz w:val="21"/>
        </w:rPr>
        <w:t>[2] SELBERHERR S. Analysis and Simulation of Semiconductor Devices[M]. Wien: Springer, 1984.</w:t>
      </w:r>
    </w:p>
    <w:p>
      <w:pPr>
        <w:spacing w:line="360" w:lineRule="auto"/>
        <w:ind w:left="288" w:hanging="288"/>
      </w:pPr>
      <w:r>
        <w:rPr>
          <w:rFonts w:ascii="Times New Roman" w:hAnsi="Times New Roman" w:eastAsia="SimSun"/>
          <w:b w:val="0"/>
          <w:sz w:val="21"/>
        </w:rPr>
        <w:t>[3] SCHARFETTER D L, GUMMEL H K. Large-signal analysis of a silicon Read diode oscillator[J]. IEEE Transactions on Electron Devices, 1969, 16(1): 64-77.</w:t>
      </w:r>
    </w:p>
    <w:p>
      <w:pPr>
        <w:spacing w:line="360" w:lineRule="auto"/>
        <w:ind w:left="288" w:hanging="288"/>
      </w:pPr>
      <w:r>
        <w:rPr>
          <w:rFonts w:ascii="Times New Roman" w:hAnsi="Times New Roman" w:eastAsia="SimSun"/>
          <w:b w:val="0"/>
          <w:sz w:val="21"/>
        </w:rPr>
        <w:t>[4] SHOCKLEY W, READ W T. Statistics of the recombinations of holes and electrons[J]. Physical Review, 1952, 87(5): 835-842.</w:t>
      </w:r>
    </w:p>
    <w:p>
      <w:pPr>
        <w:spacing w:line="360" w:lineRule="auto"/>
        <w:ind w:left="288" w:hanging="288"/>
      </w:pPr>
      <w:r>
        <w:rPr>
          <w:rFonts w:ascii="Times New Roman" w:hAnsi="Times New Roman" w:eastAsia="SimSun"/>
          <w:b w:val="0"/>
          <w:sz w:val="21"/>
        </w:rPr>
        <w:t>[5] HALL R N. Electron-hole recombination in germanium[J]. Physical Review, 1952, 87(2): 387.</w:t>
      </w:r>
    </w:p>
    <w:p>
      <w:pPr>
        <w:spacing w:line="360" w:lineRule="auto"/>
        <w:ind w:left="288" w:hanging="288"/>
      </w:pPr>
      <w:r>
        <w:rPr>
          <w:rFonts w:ascii="Times New Roman" w:hAnsi="Times New Roman" w:eastAsia="SimSun"/>
          <w:b w:val="0"/>
          <w:sz w:val="21"/>
        </w:rPr>
        <w:t>[6] DEVSIM LLC. DEVSIM TCAD Device Simulator[EB/OL]. https://github.com/devsim/devsim.</w:t>
      </w:r>
    </w:p>
    <w:p>
      <w:pPr>
        <w:spacing w:line="360" w:lineRule="auto"/>
        <w:ind w:left="288" w:hanging="288"/>
      </w:pPr>
      <w:r>
        <w:rPr>
          <w:rFonts w:ascii="Times New Roman" w:hAnsi="Times New Roman" w:eastAsia="SimSun"/>
          <w:b w:val="0"/>
          <w:sz w:val="21"/>
        </w:rPr>
        <w:t>[7] DEVSIM LLC. DEVSIM TCAD Semiconductor Device Simulator Documentation[EB/OL]. https://devsim.org/.</w:t>
      </w:r>
    </w:p>
    <w:p>
      <w:pPr>
        <w:spacing w:line="360" w:lineRule="auto"/>
        <w:ind w:left="288" w:hanging="288"/>
      </w:pPr>
      <w:r>
        <w:rPr>
          <w:rFonts w:ascii="Times New Roman" w:hAnsi="Times New Roman" w:eastAsia="SimSun"/>
          <w:b w:val="0"/>
          <w:sz w:val="21"/>
        </w:rPr>
        <w:t>[8] PENG R D. Reproducible research in computational science[J]. Science, 2011, 334(6060): 1226-1227.</w:t>
      </w:r>
    </w:p>
    <w:p>
      <w:pPr>
        <w:spacing w:line="360" w:lineRule="auto"/>
        <w:ind w:left="288" w:hanging="288"/>
      </w:pPr>
      <w:r>
        <w:rPr>
          <w:rFonts w:ascii="Times New Roman" w:hAnsi="Times New Roman" w:eastAsia="SimSun"/>
          <w:b w:val="0"/>
          <w:sz w:val="21"/>
        </w:rPr>
        <w:t>[9] ARABAS S, BAREFORD M R, DE SILVA L R, et al. Case studies and challenges in reproducibility in the computational sciences[EB/OL]. arXiv:1408.2123, 2014.</w:t>
      </w:r>
    </w:p>
    <w:p>
      <w:pPr>
        <w:spacing w:line="360" w:lineRule="auto"/>
        <w:ind w:left="288" w:hanging="288"/>
      </w:pPr>
      <w:r>
        <w:rPr>
          <w:rFonts w:ascii="Times New Roman" w:hAnsi="Times New Roman" w:eastAsia="SimSun"/>
          <w:b w:val="0"/>
          <w:sz w:val="21"/>
        </w:rPr>
        <w:t>[10] CALADO P, GELMETTI I, HILTON B, et al. Driftfusion: An open source code for simulating ordered semiconductor devices with mixed ionic-electronic conducting materials in one dimension[EB/OL]. arXiv:2009.04384, 2020.</w:t>
      </w:r>
    </w:p>
    <w:p>
      <w:pPr>
        <w:spacing w:line="360" w:lineRule="auto"/>
        <w:ind w:left="288" w:hanging="288"/>
      </w:pPr>
      <w:r>
        <w:rPr>
          <w:rFonts w:ascii="Times New Roman" w:hAnsi="Times New Roman" w:eastAsia="SimSun"/>
          <w:b w:val="0"/>
          <w:sz w:val="21"/>
        </w:rPr>
        <w:t>[11] NAYAK D, KUMAR Y R, KUMAR M, et al. Temperature dependent reverse recovery characterization of SiC MOSFETs body diode for switching loss estimation in a half-bridge[EB/OL]. arXiv:2104.09271, 2021.</w:t>
      </w:r>
    </w:p>
    <w:p>
      <w:pPr>
        <w:spacing w:line="360" w:lineRule="auto"/>
        <w:ind w:left="288" w:hanging="288"/>
      </w:pPr>
      <w:r>
        <w:rPr>
          <w:rFonts w:ascii="Times New Roman" w:hAnsi="Times New Roman" w:eastAsia="SimSun"/>
          <w:b w:val="0"/>
          <w:sz w:val="21"/>
        </w:rPr>
        <w:t>[12] GAGGL P, BURIN J, GSPONER A, et al. TCAD modeling of radiation-induced defects in 4H-SiC diodes[EB/OL]. arXiv:2407.11776, 2024.</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