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er2.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2372" w:rsidRPr="00E52372" w:rsidRDefault="0045104B" w:rsidP="00AA07A8">
      <w:pPr>
        <w:pStyle w:val="Heading1"/>
      </w:pPr>
      <w:r>
        <w:tab/>
      </w:r>
      <w:r w:rsidR="00450CE6">
        <w:t>Introduction</w:t>
      </w:r>
    </w:p>
    <w:tbl>
      <w:tblPr>
        <w:tblStyle w:val="Digilent3"/>
        <w:tblpPr w:leftFromText="181" w:rightFromText="181" w:vertAnchor="text" w:tblpXSpec="right" w:tblpY="1"/>
        <w:tblW w:w="3969" w:type="dxa"/>
        <w:tblLook w:val="04A0" w:firstRow="1" w:lastRow="0" w:firstColumn="1" w:lastColumn="0" w:noHBand="0" w:noVBand="1"/>
      </w:tblPr>
      <w:tblGrid>
        <w:gridCol w:w="1987"/>
        <w:gridCol w:w="1982"/>
      </w:tblGrid>
      <w:tr w:rsidR="003C0565" w:rsidTr="00F640EF">
        <w:trPr>
          <w:cnfStyle w:val="100000000000" w:firstRow="1" w:lastRow="0" w:firstColumn="0" w:lastColumn="0" w:oddVBand="0" w:evenVBand="0" w:oddHBand="0" w:evenHBand="0" w:firstRowFirstColumn="0" w:firstRowLastColumn="0" w:lastRowFirstColumn="0" w:lastRowLastColumn="0"/>
        </w:trPr>
        <w:tc>
          <w:tcPr>
            <w:tcW w:w="3969" w:type="dxa"/>
            <w:gridSpan w:val="2"/>
          </w:tcPr>
          <w:p w:rsidR="003C0565" w:rsidRDefault="003C0565" w:rsidP="00FE1129">
            <w:pPr>
              <w:jc w:val="center"/>
            </w:pPr>
            <w:bookmarkStart w:id="0" w:name="_Toc365459769"/>
            <w:r>
              <w:t>IP quick facts</w:t>
            </w:r>
          </w:p>
        </w:tc>
      </w:tr>
      <w:tr w:rsidR="003C0565" w:rsidTr="00F640EF">
        <w:trPr>
          <w:cnfStyle w:val="000000100000" w:firstRow="0" w:lastRow="0" w:firstColumn="0" w:lastColumn="0" w:oddVBand="0" w:evenVBand="0" w:oddHBand="1" w:evenHBand="0" w:firstRowFirstColumn="0" w:firstRowLastColumn="0" w:lastRowFirstColumn="0" w:lastRowLastColumn="0"/>
        </w:trPr>
        <w:tc>
          <w:tcPr>
            <w:tcW w:w="1985" w:type="dxa"/>
            <w:vAlign w:val="center"/>
          </w:tcPr>
          <w:p w:rsidR="003C0565" w:rsidRDefault="00E637F1" w:rsidP="00F640EF">
            <w:r>
              <w:t>Supported device families</w:t>
            </w:r>
          </w:p>
        </w:tc>
        <w:tc>
          <w:tcPr>
            <w:tcW w:w="1984" w:type="dxa"/>
            <w:vAlign w:val="center"/>
          </w:tcPr>
          <w:p w:rsidR="003C0565" w:rsidRDefault="00E637F1" w:rsidP="00F640EF">
            <w:pPr>
              <w:jc w:val="right"/>
            </w:pPr>
            <w:r>
              <w:t>Zynq</w:t>
            </w:r>
            <w:r w:rsidR="00974B8E">
              <w:t>®</w:t>
            </w:r>
            <w:r>
              <w:t>-7000, 7 series</w:t>
            </w:r>
          </w:p>
        </w:tc>
      </w:tr>
      <w:tr w:rsidR="003C0565" w:rsidTr="00F640EF">
        <w:trPr>
          <w:cnfStyle w:val="000000010000" w:firstRow="0" w:lastRow="0" w:firstColumn="0" w:lastColumn="0" w:oddVBand="0" w:evenVBand="0" w:oddHBand="0" w:evenHBand="1" w:firstRowFirstColumn="0" w:firstRowLastColumn="0" w:lastRowFirstColumn="0" w:lastRowLastColumn="0"/>
        </w:trPr>
        <w:tc>
          <w:tcPr>
            <w:tcW w:w="1985" w:type="dxa"/>
            <w:vAlign w:val="center"/>
          </w:tcPr>
          <w:p w:rsidR="003C0565" w:rsidRDefault="00E637F1" w:rsidP="00F640EF">
            <w:r>
              <w:t>Supported user interfaces</w:t>
            </w:r>
          </w:p>
        </w:tc>
        <w:tc>
          <w:tcPr>
            <w:tcW w:w="1984" w:type="dxa"/>
            <w:vAlign w:val="center"/>
          </w:tcPr>
          <w:p w:rsidR="003C0565" w:rsidRDefault="00061C24" w:rsidP="00F640EF">
            <w:pPr>
              <w:jc w:val="right"/>
            </w:pPr>
            <w:r>
              <w:t xml:space="preserve">Xilinx: </w:t>
            </w:r>
            <w:proofErr w:type="spellStart"/>
            <w:r>
              <w:t>vid_io</w:t>
            </w:r>
            <w:proofErr w:type="spellEnd"/>
            <w:r>
              <w:br/>
            </w:r>
            <w:r w:rsidR="00E637F1">
              <w:t>Digilent: TMDS</w:t>
            </w:r>
          </w:p>
        </w:tc>
      </w:tr>
      <w:tr w:rsidR="00DF14F3" w:rsidTr="00F640EF">
        <w:trPr>
          <w:cnfStyle w:val="000000100000" w:firstRow="0" w:lastRow="0" w:firstColumn="0" w:lastColumn="0" w:oddVBand="0" w:evenVBand="0" w:oddHBand="1" w:evenHBand="0" w:firstRowFirstColumn="0" w:firstRowLastColumn="0" w:lastRowFirstColumn="0" w:lastRowLastColumn="0"/>
        </w:trPr>
        <w:tc>
          <w:tcPr>
            <w:tcW w:w="3969" w:type="dxa"/>
            <w:gridSpan w:val="2"/>
            <w:shd w:val="clear" w:color="auto" w:fill="00542C"/>
            <w:vAlign w:val="center"/>
          </w:tcPr>
          <w:p w:rsidR="00DF14F3" w:rsidRPr="00FE1129" w:rsidRDefault="00DF14F3" w:rsidP="00F640EF">
            <w:pPr>
              <w:jc w:val="center"/>
              <w:rPr>
                <w:b/>
                <w:color w:val="FFFFFF" w:themeColor="background1"/>
              </w:rPr>
            </w:pPr>
            <w:r w:rsidRPr="00FE1129">
              <w:rPr>
                <w:b/>
                <w:color w:val="FFFFFF" w:themeColor="background1"/>
              </w:rPr>
              <w:t>Provided with core</w:t>
            </w:r>
          </w:p>
        </w:tc>
      </w:tr>
      <w:tr w:rsidR="003C0565" w:rsidTr="00F640EF">
        <w:trPr>
          <w:cnfStyle w:val="000000010000" w:firstRow="0" w:lastRow="0" w:firstColumn="0" w:lastColumn="0" w:oddVBand="0" w:evenVBand="0" w:oddHBand="0" w:evenHBand="1" w:firstRowFirstColumn="0" w:firstRowLastColumn="0" w:lastRowFirstColumn="0" w:lastRowLastColumn="0"/>
        </w:trPr>
        <w:tc>
          <w:tcPr>
            <w:tcW w:w="1985" w:type="dxa"/>
            <w:vAlign w:val="center"/>
          </w:tcPr>
          <w:p w:rsidR="003C0565" w:rsidRDefault="00E637F1" w:rsidP="00F640EF">
            <w:r>
              <w:t>Design files</w:t>
            </w:r>
          </w:p>
        </w:tc>
        <w:tc>
          <w:tcPr>
            <w:tcW w:w="1984" w:type="dxa"/>
            <w:vAlign w:val="center"/>
          </w:tcPr>
          <w:p w:rsidR="003C0565" w:rsidRDefault="00E637F1" w:rsidP="00F640EF">
            <w:pPr>
              <w:jc w:val="right"/>
            </w:pPr>
            <w:r>
              <w:t>VHDL</w:t>
            </w:r>
          </w:p>
        </w:tc>
      </w:tr>
      <w:tr w:rsidR="003C0565" w:rsidTr="00F640EF">
        <w:trPr>
          <w:cnfStyle w:val="000000100000" w:firstRow="0" w:lastRow="0" w:firstColumn="0" w:lastColumn="0" w:oddVBand="0" w:evenVBand="0" w:oddHBand="1" w:evenHBand="0" w:firstRowFirstColumn="0" w:firstRowLastColumn="0" w:lastRowFirstColumn="0" w:lastRowLastColumn="0"/>
        </w:trPr>
        <w:tc>
          <w:tcPr>
            <w:tcW w:w="1985" w:type="dxa"/>
            <w:vAlign w:val="center"/>
          </w:tcPr>
          <w:p w:rsidR="003C0565" w:rsidRDefault="00E637F1" w:rsidP="00F640EF">
            <w:r>
              <w:t>Simulation model</w:t>
            </w:r>
          </w:p>
        </w:tc>
        <w:tc>
          <w:tcPr>
            <w:tcW w:w="1984" w:type="dxa"/>
            <w:vAlign w:val="center"/>
          </w:tcPr>
          <w:p w:rsidR="003C0565" w:rsidRDefault="00E637F1" w:rsidP="00F640EF">
            <w:pPr>
              <w:jc w:val="right"/>
            </w:pPr>
            <w:r>
              <w:t>VHDL Behavioral</w:t>
            </w:r>
          </w:p>
        </w:tc>
      </w:tr>
      <w:tr w:rsidR="006C3F68" w:rsidTr="00F640EF">
        <w:trPr>
          <w:cnfStyle w:val="000000010000" w:firstRow="0" w:lastRow="0" w:firstColumn="0" w:lastColumn="0" w:oddVBand="0" w:evenVBand="0" w:oddHBand="0" w:evenHBand="1" w:firstRowFirstColumn="0" w:firstRowLastColumn="0" w:lastRowFirstColumn="0" w:lastRowLastColumn="0"/>
        </w:trPr>
        <w:tc>
          <w:tcPr>
            <w:tcW w:w="1985" w:type="dxa"/>
            <w:vAlign w:val="center"/>
          </w:tcPr>
          <w:p w:rsidR="006C3F68" w:rsidRDefault="006C3F68" w:rsidP="00F640EF">
            <w:r>
              <w:t>Constraints file</w:t>
            </w:r>
          </w:p>
        </w:tc>
        <w:tc>
          <w:tcPr>
            <w:tcW w:w="1984" w:type="dxa"/>
            <w:vAlign w:val="center"/>
          </w:tcPr>
          <w:p w:rsidR="006C3F68" w:rsidRDefault="006C3F68" w:rsidP="00F640EF">
            <w:pPr>
              <w:jc w:val="right"/>
            </w:pPr>
            <w:r>
              <w:t>XDC</w:t>
            </w:r>
          </w:p>
        </w:tc>
      </w:tr>
      <w:tr w:rsidR="003C0565" w:rsidTr="00F640EF">
        <w:trPr>
          <w:cnfStyle w:val="000000100000" w:firstRow="0" w:lastRow="0" w:firstColumn="0" w:lastColumn="0" w:oddVBand="0" w:evenVBand="0" w:oddHBand="1" w:evenHBand="0" w:firstRowFirstColumn="0" w:firstRowLastColumn="0" w:lastRowFirstColumn="0" w:lastRowLastColumn="0"/>
        </w:trPr>
        <w:tc>
          <w:tcPr>
            <w:tcW w:w="1985" w:type="dxa"/>
            <w:vAlign w:val="center"/>
          </w:tcPr>
          <w:p w:rsidR="003C0565" w:rsidRDefault="00E637F1" w:rsidP="00F640EF">
            <w:r>
              <w:t>Software driver</w:t>
            </w:r>
          </w:p>
        </w:tc>
        <w:tc>
          <w:tcPr>
            <w:tcW w:w="1984" w:type="dxa"/>
            <w:vAlign w:val="center"/>
          </w:tcPr>
          <w:p w:rsidR="003C0565" w:rsidRDefault="00E637F1" w:rsidP="00F640EF">
            <w:pPr>
              <w:jc w:val="right"/>
            </w:pPr>
            <w:r>
              <w:t>N/A</w:t>
            </w:r>
          </w:p>
        </w:tc>
      </w:tr>
      <w:tr w:rsidR="00DF14F3" w:rsidTr="00F640EF">
        <w:trPr>
          <w:cnfStyle w:val="000000010000" w:firstRow="0" w:lastRow="0" w:firstColumn="0" w:lastColumn="0" w:oddVBand="0" w:evenVBand="0" w:oddHBand="0" w:evenHBand="1" w:firstRowFirstColumn="0" w:firstRowLastColumn="0" w:lastRowFirstColumn="0" w:lastRowLastColumn="0"/>
        </w:trPr>
        <w:tc>
          <w:tcPr>
            <w:tcW w:w="3969" w:type="dxa"/>
            <w:gridSpan w:val="2"/>
            <w:shd w:val="clear" w:color="auto" w:fill="00542C"/>
            <w:vAlign w:val="center"/>
          </w:tcPr>
          <w:p w:rsidR="00DF14F3" w:rsidRPr="00FE1129" w:rsidRDefault="00DF14F3" w:rsidP="00F640EF">
            <w:pPr>
              <w:jc w:val="center"/>
              <w:rPr>
                <w:b/>
                <w:color w:val="FFFFFF" w:themeColor="background1"/>
              </w:rPr>
            </w:pPr>
            <w:r w:rsidRPr="00FE1129">
              <w:rPr>
                <w:b/>
                <w:color w:val="FFFFFF" w:themeColor="background1"/>
              </w:rPr>
              <w:t>Tested design flows</w:t>
            </w:r>
          </w:p>
        </w:tc>
      </w:tr>
      <w:tr w:rsidR="003C0565" w:rsidTr="00F640EF">
        <w:trPr>
          <w:cnfStyle w:val="000000100000" w:firstRow="0" w:lastRow="0" w:firstColumn="0" w:lastColumn="0" w:oddVBand="0" w:evenVBand="0" w:oddHBand="1" w:evenHBand="0" w:firstRowFirstColumn="0" w:firstRowLastColumn="0" w:lastRowFirstColumn="0" w:lastRowLastColumn="0"/>
        </w:trPr>
        <w:tc>
          <w:tcPr>
            <w:tcW w:w="1985" w:type="dxa"/>
            <w:vAlign w:val="center"/>
          </w:tcPr>
          <w:p w:rsidR="003C0565" w:rsidRDefault="00DF14F3" w:rsidP="00F640EF">
            <w:r>
              <w:t>Design entry</w:t>
            </w:r>
          </w:p>
        </w:tc>
        <w:tc>
          <w:tcPr>
            <w:tcW w:w="1984" w:type="dxa"/>
            <w:vAlign w:val="center"/>
          </w:tcPr>
          <w:p w:rsidR="003C0565" w:rsidRDefault="00DF14F3" w:rsidP="00F640EF">
            <w:pPr>
              <w:jc w:val="right"/>
            </w:pPr>
            <w:proofErr w:type="spellStart"/>
            <w:r>
              <w:t>Vivado</w:t>
            </w:r>
            <w:proofErr w:type="spellEnd"/>
            <w:r w:rsidR="00974B8E">
              <w:t>™</w:t>
            </w:r>
            <w:r w:rsidR="00F10A6A">
              <w:t xml:space="preserve"> Design Suite 2016.4</w:t>
            </w:r>
          </w:p>
        </w:tc>
      </w:tr>
      <w:tr w:rsidR="00DF14F3" w:rsidTr="00F640EF">
        <w:trPr>
          <w:cnfStyle w:val="000000010000" w:firstRow="0" w:lastRow="0" w:firstColumn="0" w:lastColumn="0" w:oddVBand="0" w:evenVBand="0" w:oddHBand="0" w:evenHBand="1" w:firstRowFirstColumn="0" w:firstRowLastColumn="0" w:lastRowFirstColumn="0" w:lastRowLastColumn="0"/>
        </w:trPr>
        <w:tc>
          <w:tcPr>
            <w:tcW w:w="1985" w:type="dxa"/>
            <w:vAlign w:val="center"/>
          </w:tcPr>
          <w:p w:rsidR="00DF14F3" w:rsidRDefault="00DF14F3" w:rsidP="00F640EF">
            <w:r>
              <w:t>Synthesis</w:t>
            </w:r>
          </w:p>
        </w:tc>
        <w:tc>
          <w:tcPr>
            <w:tcW w:w="1984" w:type="dxa"/>
            <w:vAlign w:val="center"/>
          </w:tcPr>
          <w:p w:rsidR="00DF14F3" w:rsidRDefault="00F10A6A" w:rsidP="00F640EF">
            <w:pPr>
              <w:jc w:val="right"/>
            </w:pPr>
            <w:proofErr w:type="spellStart"/>
            <w:r>
              <w:t>Vivado</w:t>
            </w:r>
            <w:proofErr w:type="spellEnd"/>
            <w:r>
              <w:t xml:space="preserve"> Synthesis 2016.4</w:t>
            </w:r>
          </w:p>
        </w:tc>
      </w:tr>
    </w:tbl>
    <w:p w:rsidR="00450CE6" w:rsidRDefault="00450CE6" w:rsidP="00450CE6">
      <w:r>
        <w:t xml:space="preserve">This </w:t>
      </w:r>
      <w:r w:rsidR="00530CF0">
        <w:t>user guide</w:t>
      </w:r>
      <w:r w:rsidR="00F372EE">
        <w:t xml:space="preserve"> describes the Digilent </w:t>
      </w:r>
      <w:r>
        <w:t>RGB</w:t>
      </w:r>
      <w:r w:rsidR="00101827">
        <w:t>-to-DVI</w:t>
      </w:r>
      <w:r>
        <w:t xml:space="preserve"> </w:t>
      </w:r>
      <w:r w:rsidR="00101827">
        <w:t>Video En</w:t>
      </w:r>
      <w:r w:rsidR="00F372EE" w:rsidRPr="00F372EE">
        <w:t>coder</w:t>
      </w:r>
      <w:r>
        <w:t xml:space="preserve"> Intellectual Property. This IP interfaces dire</w:t>
      </w:r>
      <w:bookmarkStart w:id="1" w:name="_GoBack"/>
      <w:bookmarkEnd w:id="1"/>
      <w:r>
        <w:t xml:space="preserve">ctly to raw </w:t>
      </w:r>
      <w:r w:rsidR="006E1B5A">
        <w:t>t</w:t>
      </w:r>
      <w:r>
        <w:t>ransition-</w:t>
      </w:r>
      <w:r w:rsidR="006E1B5A">
        <w:t>m</w:t>
      </w:r>
      <w:r>
        <w:t xml:space="preserve">inimized </w:t>
      </w:r>
      <w:r w:rsidR="006E1B5A">
        <w:t>d</w:t>
      </w:r>
      <w:r>
        <w:t xml:space="preserve">ifferential </w:t>
      </w:r>
      <w:r w:rsidR="006E1B5A">
        <w:t>s</w:t>
      </w:r>
      <w:r>
        <w:t xml:space="preserve">ignaling </w:t>
      </w:r>
      <w:r w:rsidR="006E1B5A">
        <w:t xml:space="preserve">(TMDS) </w:t>
      </w:r>
      <w:r>
        <w:t xml:space="preserve">clock and data channel </w:t>
      </w:r>
      <w:r w:rsidR="00101827">
        <w:t>outputs</w:t>
      </w:r>
      <w:r>
        <w:t xml:space="preserve"> as d</w:t>
      </w:r>
      <w:r w:rsidR="00101827">
        <w:t>efined in DVI 1.0 specs for Source</w:t>
      </w:r>
      <w:r>
        <w:t xml:space="preserve"> devices. It </w:t>
      </w:r>
      <w:r w:rsidR="00101827">
        <w:t>encodes</w:t>
      </w:r>
      <w:r>
        <w:t xml:space="preserve"> 24-bit RGB video data along with the pixel cl</w:t>
      </w:r>
      <w:r w:rsidR="00101827">
        <w:t>ock and synchronization signals.</w:t>
      </w:r>
    </w:p>
    <w:p w:rsidR="00450CE6" w:rsidRDefault="0045104B" w:rsidP="00450CE6">
      <w:pPr>
        <w:pStyle w:val="Heading1"/>
      </w:pPr>
      <w:r>
        <w:tab/>
      </w:r>
      <w:r w:rsidR="00450CE6">
        <w:t>Features</w:t>
      </w:r>
    </w:p>
    <w:p w:rsidR="00450CE6" w:rsidRDefault="00450CE6" w:rsidP="00450CE6">
      <w:pPr>
        <w:pStyle w:val="ListParagraph"/>
        <w:numPr>
          <w:ilvl w:val="0"/>
          <w:numId w:val="16"/>
        </w:numPr>
        <w:spacing w:after="0" w:line="240" w:lineRule="auto"/>
      </w:pPr>
      <w:r>
        <w:t xml:space="preserve">Connects directly to top-level </w:t>
      </w:r>
      <w:r w:rsidR="006E1B5A">
        <w:t>d</w:t>
      </w:r>
      <w:r>
        <w:t xml:space="preserve">igital </w:t>
      </w:r>
      <w:r w:rsidR="006E1B5A">
        <w:t>v</w:t>
      </w:r>
      <w:r>
        <w:t xml:space="preserve">isual </w:t>
      </w:r>
      <w:r w:rsidR="006E1B5A">
        <w:t>i</w:t>
      </w:r>
      <w:r>
        <w:t>nterface (DVI) port</w:t>
      </w:r>
    </w:p>
    <w:p w:rsidR="00450CE6" w:rsidRDefault="00450CE6" w:rsidP="00450CE6">
      <w:pPr>
        <w:pStyle w:val="ListParagraph"/>
        <w:numPr>
          <w:ilvl w:val="0"/>
          <w:numId w:val="16"/>
        </w:numPr>
        <w:spacing w:after="0" w:line="240" w:lineRule="auto"/>
      </w:pPr>
      <w:r>
        <w:t xml:space="preserve">24-bit video (clocked parallel video data with synchronization signals) </w:t>
      </w:r>
      <w:r w:rsidR="00101827">
        <w:t>input</w:t>
      </w:r>
    </w:p>
    <w:p w:rsidR="00450CE6" w:rsidRDefault="00450CE6" w:rsidP="00450CE6">
      <w:pPr>
        <w:pStyle w:val="ListParagraph"/>
        <w:numPr>
          <w:ilvl w:val="0"/>
          <w:numId w:val="16"/>
        </w:numPr>
        <w:spacing w:after="0" w:line="240" w:lineRule="auto"/>
      </w:pPr>
      <w:r>
        <w:t>Resolutions supported: 1920x1080/60Hz down to 800x600/60Hz (148.5 MHz – 40 MHz)</w:t>
      </w:r>
    </w:p>
    <w:p w:rsidR="00E90FF0" w:rsidRDefault="00E90FF0" w:rsidP="00450CE6">
      <w:pPr>
        <w:pStyle w:val="ListParagraph"/>
        <w:numPr>
          <w:ilvl w:val="0"/>
          <w:numId w:val="16"/>
        </w:numPr>
        <w:spacing w:after="0" w:line="240" w:lineRule="auto"/>
      </w:pPr>
      <w:r>
        <w:t xml:space="preserve">Digilent interfaces used: </w:t>
      </w:r>
      <w:r w:rsidR="006E1B5A">
        <w:t>TMDS</w:t>
      </w:r>
    </w:p>
    <w:p w:rsidR="0030005C" w:rsidRDefault="0030005C" w:rsidP="0030005C">
      <w:pPr>
        <w:pStyle w:val="Heading1"/>
      </w:pPr>
      <w:r>
        <w:tab/>
        <w:t>Performance</w:t>
      </w:r>
    </w:p>
    <w:p w:rsidR="0030005C" w:rsidRDefault="007265C3" w:rsidP="0030005C">
      <w:r>
        <w:t xml:space="preserve">The IP does not constrain the clocks it requires as inputs. The exception is out-of-context synthesis, when the rgb2dvi_ooc.xdc contains the necessary constraints. However, this file is not used in top-level synthesis. Therefore, clocks need to be constrained in the top-level design either manually or by relying on the auto-derived constraints, if </w:t>
      </w:r>
      <w:r w:rsidR="0021318E">
        <w:t>using clock modifying blocks. For more information see [</w:t>
      </w:r>
      <w:r w:rsidR="00563B50">
        <w:fldChar w:fldCharType="begin"/>
      </w:r>
      <w:r w:rsidR="0021318E">
        <w:instrText xml:space="preserve"> REF _Ref403044880 \r \h </w:instrText>
      </w:r>
      <w:r w:rsidR="00563B50">
        <w:fldChar w:fldCharType="separate"/>
      </w:r>
      <w:r w:rsidR="00FF6161">
        <w:t>7</w:t>
      </w:r>
      <w:r w:rsidR="00563B50">
        <w:fldChar w:fldCharType="end"/>
      </w:r>
      <w:r w:rsidR="0021318E">
        <w:t>].</w:t>
      </w:r>
    </w:p>
    <w:p w:rsidR="0021318E" w:rsidRDefault="0021318E" w:rsidP="0030005C">
      <w:r>
        <w:t>Although the IP itself supports the maximum frequency outlined in DVI 1.0 specifications (165 MHz) for pixel clock, the actual maximum frequency might be lower depending on the actual FPGA part or speed grade.</w:t>
      </w:r>
      <w:r w:rsidR="00622AC5" w:rsidRPr="00622AC5">
        <w:t xml:space="preserve"> Check the part datasheet for F</w:t>
      </w:r>
      <w:r w:rsidR="00622AC5" w:rsidRPr="00622AC5">
        <w:rPr>
          <w:vertAlign w:val="subscript"/>
        </w:rPr>
        <w:t>MAX_BUFIO</w:t>
      </w:r>
      <w:r w:rsidR="00622AC5" w:rsidRPr="00622AC5">
        <w:t xml:space="preserve">, which is the most likely reason for failed timing. </w:t>
      </w:r>
      <w:proofErr w:type="spellStart"/>
      <w:r w:rsidR="00622AC5">
        <w:t>RGB_PixelClk</w:t>
      </w:r>
      <w:proofErr w:type="spellEnd"/>
      <w:r w:rsidR="00622AC5" w:rsidRPr="00622AC5">
        <w:t xml:space="preserve"> should be constrained for F</w:t>
      </w:r>
      <w:r w:rsidR="00622AC5" w:rsidRPr="00622AC5">
        <w:rPr>
          <w:vertAlign w:val="subscript"/>
        </w:rPr>
        <w:t>MAX_BUFIO</w:t>
      </w:r>
      <w:r w:rsidR="00622AC5" w:rsidRPr="00622AC5">
        <w:t>/5. Consequently, this is the maximum pixel clock frequency supported on that FPGA family and speed grade.</w:t>
      </w:r>
    </w:p>
    <w:p w:rsidR="00622AC5" w:rsidRDefault="00622AC5" w:rsidP="00622AC5">
      <w:pPr>
        <w:pStyle w:val="Heading1"/>
      </w:pPr>
      <w:r>
        <w:lastRenderedPageBreak/>
        <w:tab/>
        <w:t>Overview</w:t>
      </w:r>
    </w:p>
    <w:p w:rsidR="00F53EE7" w:rsidRDefault="00B91396" w:rsidP="00F53EE7">
      <w:pPr>
        <w:keepNext/>
      </w:pPr>
      <w:r>
        <w:object w:dxaOrig="12255" w:dyaOrig="84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5pt;height:330pt" o:ole="">
            <v:imagedata r:id="rId8" o:title=""/>
          </v:shape>
          <o:OLEObject Type="Embed" ProgID="Visio.Drawing.11" ShapeID="_x0000_i1025" DrawAspect="Content" ObjectID="_1566217210" r:id="rId9"/>
        </w:object>
      </w:r>
    </w:p>
    <w:p w:rsidR="00622AC5" w:rsidRDefault="00F53EE7" w:rsidP="00F53EE7">
      <w:pPr>
        <w:pStyle w:val="Caption"/>
      </w:pPr>
      <w:r>
        <w:t xml:space="preserve">Figure </w:t>
      </w:r>
      <w:r w:rsidR="00563B50">
        <w:fldChar w:fldCharType="begin"/>
      </w:r>
      <w:r w:rsidR="00FA4B7E">
        <w:instrText xml:space="preserve"> SEQ Figure \* ARABIC </w:instrText>
      </w:r>
      <w:r w:rsidR="00563B50">
        <w:fldChar w:fldCharType="separate"/>
      </w:r>
      <w:r w:rsidR="00FF6161">
        <w:rPr>
          <w:noProof/>
        </w:rPr>
        <w:t>1</w:t>
      </w:r>
      <w:r w:rsidR="00563B50">
        <w:rPr>
          <w:noProof/>
        </w:rPr>
        <w:fldChar w:fldCharType="end"/>
      </w:r>
      <w:r>
        <w:t>. RGB to DVI converter block diagram</w:t>
      </w:r>
      <w:r w:rsidR="00974B8E">
        <w:t>.</w:t>
      </w:r>
    </w:p>
    <w:p w:rsidR="00F53EE7" w:rsidRDefault="00F53EE7" w:rsidP="00F53EE7">
      <w:r>
        <w:t xml:space="preserve">The IP is built from multiple blocks: one encoder block for each data channel, one </w:t>
      </w:r>
      <w:proofErr w:type="spellStart"/>
      <w:r>
        <w:t>serializer</w:t>
      </w:r>
      <w:proofErr w:type="spellEnd"/>
      <w:r>
        <w:t xml:space="preserve"> block for each channel (clock and data), an optional clock generator and control/reset logic.</w:t>
      </w:r>
    </w:p>
    <w:p w:rsidR="00BF494B" w:rsidRDefault="003A43EC" w:rsidP="00BF494B">
      <w:pPr>
        <w:pStyle w:val="Heading2"/>
      </w:pPr>
      <w:r>
        <w:tab/>
      </w:r>
      <w:r w:rsidR="00BF494B">
        <w:t>RGB input</w:t>
      </w:r>
    </w:p>
    <w:p w:rsidR="00BF494B" w:rsidRPr="00BF494B" w:rsidRDefault="00BF494B" w:rsidP="00BF494B">
      <w:r>
        <w:t>The input to the core is a 24-bit RGB pixel bus. It has three 8-bit sub-pixel values for each color</w:t>
      </w:r>
      <w:r w:rsidR="002777A3">
        <w:t>, a horizontal sync, a vertical sync</w:t>
      </w:r>
      <w:r w:rsidR="00974B8E">
        <w:t>,</w:t>
      </w:r>
      <w:r w:rsidR="002777A3">
        <w:t xml:space="preserve"> and a video data enable signal. All of them are synchronous </w:t>
      </w:r>
      <w:r w:rsidR="000A4333">
        <w:t>to</w:t>
      </w:r>
      <w:r w:rsidR="002777A3">
        <w:t xml:space="preserve"> the pixel clock. Properly timing the synchronization signals for a specific display resolution according to industry standards is the responsibility of the user.</w:t>
      </w:r>
    </w:p>
    <w:p w:rsidR="00F53EE7" w:rsidRDefault="003A43EC" w:rsidP="00F53EE7">
      <w:pPr>
        <w:pStyle w:val="Heading2"/>
      </w:pPr>
      <w:r>
        <w:tab/>
      </w:r>
      <w:r w:rsidR="00F53EE7">
        <w:t>Clocking</w:t>
      </w:r>
    </w:p>
    <w:p w:rsidR="00094EED" w:rsidRDefault="00BF494B" w:rsidP="00BF494B">
      <w:r>
        <w:t xml:space="preserve">In a DVI interface the clock channel carries a character-rate frequency reference. One character (or 10 bits) are transmitted every period on each data channel. Dedicated </w:t>
      </w:r>
      <w:proofErr w:type="spellStart"/>
      <w:r>
        <w:t>serializer</w:t>
      </w:r>
      <w:proofErr w:type="spellEnd"/>
      <w:r>
        <w:t xml:space="preserve"> primitives will be used to send data ten times faster than the pixel clock. These primitives require a fast serial clock five times the frequency of the pixel clock. If desired, the core can be configured to generate this clock internally</w:t>
      </w:r>
      <w:r w:rsidR="002777A3">
        <w:t xml:space="preserve">. </w:t>
      </w:r>
      <w:r w:rsidR="009A04F5">
        <w:t>Furthermore, t</w:t>
      </w:r>
      <w:r w:rsidR="00CA6430">
        <w:t>he user has the choice of PLL</w:t>
      </w:r>
      <w:r w:rsidR="00B025B2">
        <w:t xml:space="preserve"> or MMCM</w:t>
      </w:r>
      <w:r w:rsidR="00CA6430">
        <w:t xml:space="preserve"> </w:t>
      </w:r>
      <w:r w:rsidR="00094EED">
        <w:t>as the primitive</w:t>
      </w:r>
      <w:r w:rsidR="00CA6430">
        <w:t xml:space="preserve"> to be used. </w:t>
      </w:r>
      <w:r w:rsidR="00094EED">
        <w:t xml:space="preserve">Since the clock must to be generated in the local clock region of the TMDS output pins and there is only one of each per region, this </w:t>
      </w:r>
      <w:r w:rsidR="009A04F5">
        <w:t>option helps to produce a valid placement.</w:t>
      </w:r>
    </w:p>
    <w:p w:rsidR="00F10A6A" w:rsidRDefault="00D14E72" w:rsidP="00BF494B">
      <w:r>
        <w:lastRenderedPageBreak/>
        <w:t>The parameters of the MMCM/PLL must be chosen carefully so that frequency limits listed in the device datasheet are respected. These are input frequency-dependent and the whole range of common resolution cannot be covered with a single set of parameters. For this reason the IP needs to be customized for a high or low-range of pixel clock frequencies that will meet timing.</w:t>
      </w:r>
    </w:p>
    <w:p w:rsidR="00BF494B" w:rsidRDefault="002777A3" w:rsidP="00BF494B">
      <w:r>
        <w:t xml:space="preserve">However, in most cases the pixel clock is already synthesized on the FPGA using dedicated clock primitives like MMCM or PLL. To avoid consuming an extra primitive, the existing one should be re-configured by the user to output not just the pixel clock, but a frequency five times higher too. This fast serial clock is then </w:t>
      </w:r>
      <w:r w:rsidR="004527CA">
        <w:t>tied to the RGB-to-DVI core</w:t>
      </w:r>
      <w:r>
        <w:t>.</w:t>
      </w:r>
    </w:p>
    <w:p w:rsidR="00BF494B" w:rsidRDefault="004527CA" w:rsidP="00BF494B">
      <w:pPr>
        <w:rPr>
          <w:i/>
        </w:rPr>
      </w:pPr>
      <w:r>
        <w:t>If generating the clocks outside the core, keep in mind that they</w:t>
      </w:r>
      <w:r w:rsidR="00BF494B">
        <w:t xml:space="preserve"> have tight phase requirements and must use the same buffer type or a BUFIO/BUFR combination.</w:t>
      </w:r>
      <w:r>
        <w:t xml:space="preserve"> The easiest approach is to use BUFGs for both clocks, but the clock frequencies will be limited by F</w:t>
      </w:r>
      <w:r w:rsidRPr="004527CA">
        <w:rPr>
          <w:vertAlign w:val="subscript"/>
        </w:rPr>
        <w:t>MAX_BUFG</w:t>
      </w:r>
      <w:r>
        <w:t xml:space="preserve">, specified in the part datasheet. The highest possible frequencies can be achieved by the BUFIO/BUFR combination. See the Digilent DVI-to-RGB core user guide and </w:t>
      </w:r>
      <w:r w:rsidR="003A43EC">
        <w:t>[</w:t>
      </w:r>
      <w:r w:rsidR="00563B50">
        <w:fldChar w:fldCharType="begin"/>
      </w:r>
      <w:r w:rsidR="003A43EC">
        <w:instrText xml:space="preserve"> REF _Ref403050525 \r \h </w:instrText>
      </w:r>
      <w:r w:rsidR="00563B50">
        <w:fldChar w:fldCharType="separate"/>
      </w:r>
      <w:r w:rsidR="00FF6161">
        <w:t>1</w:t>
      </w:r>
      <w:r w:rsidR="00563B50">
        <w:fldChar w:fldCharType="end"/>
      </w:r>
      <w:r w:rsidR="003A43EC">
        <w:t xml:space="preserve">] section </w:t>
      </w:r>
      <w:r w:rsidR="003A43EC" w:rsidRPr="003A43EC">
        <w:rPr>
          <w:i/>
        </w:rPr>
        <w:t>OSERDESE2 Clocking Methods</w:t>
      </w:r>
      <w:r w:rsidR="003A43EC">
        <w:rPr>
          <w:i/>
        </w:rPr>
        <w:t>.</w:t>
      </w:r>
    </w:p>
    <w:p w:rsidR="003A43EC" w:rsidRDefault="003A43EC" w:rsidP="003A43EC">
      <w:pPr>
        <w:pStyle w:val="Heading2"/>
      </w:pPr>
      <w:r>
        <w:tab/>
        <w:t>Data encoding</w:t>
      </w:r>
    </w:p>
    <w:p w:rsidR="00BF494B" w:rsidRDefault="003A43EC" w:rsidP="00BF494B">
      <w:r>
        <w:t>The TMDS standard encodes data so that the serial data stream contains few transitions (0-to-1 or 1-to-0) and a DC balance (the same number of zeros and ones over a long time period). Every 8-bit pixel data is encapsulated in a 10-bit character. The control signals too are mapped to special 10-bit characters, called tokens. The encoder block applies the encoding algorithm as specified in the DVI 1.0 specifications.</w:t>
      </w:r>
    </w:p>
    <w:p w:rsidR="003A43EC" w:rsidRDefault="009C1F3A" w:rsidP="003A43EC">
      <w:pPr>
        <w:pStyle w:val="Heading2"/>
      </w:pPr>
      <w:r>
        <w:tab/>
      </w:r>
      <w:r w:rsidR="003A43EC">
        <w:t>Serialization</w:t>
      </w:r>
    </w:p>
    <w:p w:rsidR="009C1F3A" w:rsidRDefault="009C1F3A" w:rsidP="009C1F3A">
      <w:r>
        <w:t xml:space="preserve">Clock and data are serialized 10:1 in the </w:t>
      </w:r>
      <w:proofErr w:type="spellStart"/>
      <w:r>
        <w:t>serializer</w:t>
      </w:r>
      <w:proofErr w:type="spellEnd"/>
      <w:r>
        <w:t xml:space="preserve"> blocks. Here, OSERDESE2 primitives are instantiated in a cascaded 10:1 DDR topology. Every pixel clock period an encoded 10-bit data arrives from the encoder and is output serially at rate ten times higher. The clock channel needs to be a character-wide pulse, which can be easily generated by serializing the 10-bit constant 1111100000.</w:t>
      </w:r>
    </w:p>
    <w:p w:rsidR="009C1F3A" w:rsidRDefault="007D40E3" w:rsidP="009C1F3A">
      <w:pPr>
        <w:pStyle w:val="Heading1"/>
      </w:pPr>
      <w:r>
        <w:tab/>
      </w:r>
      <w:r w:rsidR="009C1F3A">
        <w:t>Port descriptions</w:t>
      </w:r>
    </w:p>
    <w:p w:rsidR="007D40E3" w:rsidRDefault="00BD0D9D" w:rsidP="007D40E3">
      <w:pPr>
        <w:keepNext/>
        <w:jc w:val="center"/>
      </w:pPr>
      <w:r>
        <w:object w:dxaOrig="9450" w:dyaOrig="3900">
          <v:shape id="_x0000_i1026" type="#_x0000_t75" style="width:384pt;height:158.25pt" o:ole="">
            <v:imagedata r:id="rId10" o:title=""/>
          </v:shape>
          <o:OLEObject Type="Embed" ProgID="Visio.Drawing.11" ShapeID="_x0000_i1026" DrawAspect="Content" ObjectID="_1566217211" r:id="rId11"/>
        </w:object>
      </w:r>
    </w:p>
    <w:p w:rsidR="009C1F3A" w:rsidRDefault="007D40E3" w:rsidP="007D40E3">
      <w:pPr>
        <w:pStyle w:val="Caption"/>
      </w:pPr>
      <w:r>
        <w:t xml:space="preserve">Figure </w:t>
      </w:r>
      <w:r w:rsidR="00563B50">
        <w:fldChar w:fldCharType="begin"/>
      </w:r>
      <w:r w:rsidR="00FA4B7E">
        <w:instrText xml:space="preserve"> SEQ Figure \* ARABIC </w:instrText>
      </w:r>
      <w:r w:rsidR="00563B50">
        <w:fldChar w:fldCharType="separate"/>
      </w:r>
      <w:r w:rsidR="00FF6161">
        <w:rPr>
          <w:noProof/>
        </w:rPr>
        <w:t>2</w:t>
      </w:r>
      <w:r w:rsidR="00563B50">
        <w:rPr>
          <w:noProof/>
        </w:rPr>
        <w:fldChar w:fldCharType="end"/>
      </w:r>
      <w:r>
        <w:t>. IP top-level diagram.</w:t>
      </w:r>
    </w:p>
    <w:p w:rsidR="007D40E3" w:rsidRDefault="007D40E3" w:rsidP="007D40E3">
      <w:r>
        <w:lastRenderedPageBreak/>
        <w:t>The signals of the RGB-to-DVI Core are listed and described in</w:t>
      </w:r>
      <w:r w:rsidR="008D6A87">
        <w:t xml:space="preserve"> </w:t>
      </w:r>
      <w:r w:rsidR="006E1EF7">
        <w:fldChar w:fldCharType="begin"/>
      </w:r>
      <w:r w:rsidR="006E1EF7">
        <w:instrText xml:space="preserve"> REF _Ref403557775 \h </w:instrText>
      </w:r>
      <w:r w:rsidR="006E1EF7">
        <w:fldChar w:fldCharType="separate"/>
      </w:r>
      <w:r w:rsidR="00FF6161">
        <w:t xml:space="preserve">Table </w:t>
      </w:r>
      <w:r w:rsidR="00FF6161">
        <w:rPr>
          <w:noProof/>
        </w:rPr>
        <w:t>1</w:t>
      </w:r>
      <w:r w:rsidR="006E1EF7">
        <w:fldChar w:fldCharType="end"/>
      </w:r>
      <w:r>
        <w:t>.</w:t>
      </w:r>
    </w:p>
    <w:tbl>
      <w:tblPr>
        <w:tblStyle w:val="Digilent3"/>
        <w:tblW w:w="9821" w:type="dxa"/>
        <w:tblLayout w:type="fixed"/>
        <w:tblLook w:val="04A0" w:firstRow="1" w:lastRow="0" w:firstColumn="1" w:lastColumn="0" w:noHBand="0" w:noVBand="1"/>
      </w:tblPr>
      <w:tblGrid>
        <w:gridCol w:w="2791"/>
        <w:gridCol w:w="1149"/>
        <w:gridCol w:w="1562"/>
        <w:gridCol w:w="1011"/>
        <w:gridCol w:w="3308"/>
      </w:tblGrid>
      <w:tr w:rsidR="007D40E3" w:rsidTr="00F640EF">
        <w:trPr>
          <w:cnfStyle w:val="100000000000" w:firstRow="1" w:lastRow="0" w:firstColumn="0" w:lastColumn="0" w:oddVBand="0" w:evenVBand="0" w:oddHBand="0" w:evenHBand="0" w:firstRowFirstColumn="0" w:firstRowLastColumn="0" w:lastRowFirstColumn="0" w:lastRowLastColumn="0"/>
          <w:cantSplit/>
        </w:trPr>
        <w:tc>
          <w:tcPr>
            <w:tcW w:w="2731" w:type="dxa"/>
          </w:tcPr>
          <w:p w:rsidR="007D40E3" w:rsidRPr="00F15832" w:rsidRDefault="007D40E3" w:rsidP="00F640EF">
            <w:pPr>
              <w:keepNext/>
              <w:jc w:val="center"/>
              <w:rPr>
                <w:b w:val="0"/>
              </w:rPr>
            </w:pPr>
            <w:r w:rsidRPr="00F15832">
              <w:rPr>
                <w:b w:val="0"/>
              </w:rPr>
              <w:t>Signal Name</w:t>
            </w:r>
          </w:p>
        </w:tc>
        <w:tc>
          <w:tcPr>
            <w:tcW w:w="1109" w:type="dxa"/>
          </w:tcPr>
          <w:p w:rsidR="007D40E3" w:rsidRPr="00F15832" w:rsidRDefault="007D40E3" w:rsidP="00F640EF">
            <w:pPr>
              <w:keepNext/>
              <w:jc w:val="center"/>
              <w:rPr>
                <w:b w:val="0"/>
              </w:rPr>
            </w:pPr>
            <w:r w:rsidRPr="00F15832">
              <w:rPr>
                <w:b w:val="0"/>
              </w:rPr>
              <w:t>Interface</w:t>
            </w:r>
          </w:p>
        </w:tc>
        <w:tc>
          <w:tcPr>
            <w:tcW w:w="1522" w:type="dxa"/>
          </w:tcPr>
          <w:p w:rsidR="007D40E3" w:rsidRPr="00F15832" w:rsidRDefault="007D40E3" w:rsidP="00F640EF">
            <w:pPr>
              <w:keepNext/>
              <w:jc w:val="center"/>
              <w:rPr>
                <w:b w:val="0"/>
              </w:rPr>
            </w:pPr>
            <w:r w:rsidRPr="00F15832">
              <w:rPr>
                <w:b w:val="0"/>
              </w:rPr>
              <w:t>Signal Type</w:t>
            </w:r>
          </w:p>
        </w:tc>
        <w:tc>
          <w:tcPr>
            <w:tcW w:w="971" w:type="dxa"/>
          </w:tcPr>
          <w:p w:rsidR="007D40E3" w:rsidRPr="00F15832" w:rsidRDefault="007D40E3" w:rsidP="00F640EF">
            <w:pPr>
              <w:keepNext/>
              <w:jc w:val="center"/>
              <w:rPr>
                <w:b w:val="0"/>
              </w:rPr>
            </w:pPr>
            <w:proofErr w:type="spellStart"/>
            <w:r w:rsidRPr="00F15832">
              <w:rPr>
                <w:b w:val="0"/>
              </w:rPr>
              <w:t>Init</w:t>
            </w:r>
            <w:proofErr w:type="spellEnd"/>
            <w:r w:rsidRPr="00F15832">
              <w:rPr>
                <w:b w:val="0"/>
              </w:rPr>
              <w:t xml:space="preserve"> Stat</w:t>
            </w:r>
            <w:r>
              <w:rPr>
                <w:b w:val="0"/>
              </w:rPr>
              <w:t>e</w:t>
            </w:r>
          </w:p>
        </w:tc>
        <w:tc>
          <w:tcPr>
            <w:tcW w:w="3248" w:type="dxa"/>
          </w:tcPr>
          <w:p w:rsidR="007D40E3" w:rsidRPr="00F15832" w:rsidRDefault="007D40E3" w:rsidP="00F640EF">
            <w:pPr>
              <w:keepNext/>
              <w:jc w:val="center"/>
              <w:rPr>
                <w:b w:val="0"/>
              </w:rPr>
            </w:pPr>
            <w:r w:rsidRPr="00F15832">
              <w:rPr>
                <w:b w:val="0"/>
              </w:rPr>
              <w:t>Description</w:t>
            </w:r>
          </w:p>
        </w:tc>
      </w:tr>
      <w:tr w:rsidR="007D40E3" w:rsidTr="00F640EF">
        <w:trPr>
          <w:cnfStyle w:val="000000100000" w:firstRow="0" w:lastRow="0" w:firstColumn="0" w:lastColumn="0" w:oddVBand="0" w:evenVBand="0" w:oddHBand="1" w:evenHBand="0" w:firstRowFirstColumn="0" w:firstRowLastColumn="0" w:lastRowFirstColumn="0" w:lastRowLastColumn="0"/>
          <w:cantSplit/>
        </w:trPr>
        <w:tc>
          <w:tcPr>
            <w:tcW w:w="2802" w:type="dxa"/>
          </w:tcPr>
          <w:p w:rsidR="007D40E3" w:rsidRDefault="007D40E3" w:rsidP="00A96D61">
            <w:proofErr w:type="spellStart"/>
            <w:r>
              <w:t>SerialClk</w:t>
            </w:r>
            <w:proofErr w:type="spellEnd"/>
          </w:p>
        </w:tc>
        <w:tc>
          <w:tcPr>
            <w:tcW w:w="1134" w:type="dxa"/>
          </w:tcPr>
          <w:p w:rsidR="007D40E3" w:rsidRDefault="007D40E3" w:rsidP="00A96D61">
            <w:pPr>
              <w:jc w:val="center"/>
            </w:pPr>
            <w:r>
              <w:t>-</w:t>
            </w:r>
          </w:p>
        </w:tc>
        <w:tc>
          <w:tcPr>
            <w:tcW w:w="1559" w:type="dxa"/>
          </w:tcPr>
          <w:p w:rsidR="007D40E3" w:rsidRDefault="007D40E3" w:rsidP="00A96D61">
            <w:pPr>
              <w:jc w:val="center"/>
            </w:pPr>
            <w:r>
              <w:t>I</w:t>
            </w:r>
          </w:p>
        </w:tc>
        <w:tc>
          <w:tcPr>
            <w:tcW w:w="992" w:type="dxa"/>
          </w:tcPr>
          <w:p w:rsidR="007D40E3" w:rsidRDefault="007D40E3" w:rsidP="00A96D61">
            <w:pPr>
              <w:jc w:val="center"/>
            </w:pPr>
            <w:r>
              <w:t>N/A</w:t>
            </w:r>
          </w:p>
        </w:tc>
        <w:tc>
          <w:tcPr>
            <w:tcW w:w="3334" w:type="dxa"/>
          </w:tcPr>
          <w:p w:rsidR="007D40E3" w:rsidRDefault="007D40E3" w:rsidP="00A96D61">
            <w:r>
              <w:t xml:space="preserve">Optional fast serial clock. Has five times the frequency of </w:t>
            </w:r>
            <w:proofErr w:type="spellStart"/>
            <w:r>
              <w:t>PixelClk</w:t>
            </w:r>
            <w:proofErr w:type="spellEnd"/>
            <w:r>
              <w:t xml:space="preserve"> and are phase-aligned. Can be generated internally.</w:t>
            </w:r>
          </w:p>
        </w:tc>
      </w:tr>
      <w:tr w:rsidR="007D40E3" w:rsidTr="00F640EF">
        <w:trPr>
          <w:cnfStyle w:val="000000010000" w:firstRow="0" w:lastRow="0" w:firstColumn="0" w:lastColumn="0" w:oddVBand="0" w:evenVBand="0" w:oddHBand="0" w:evenHBand="1" w:firstRowFirstColumn="0" w:firstRowLastColumn="0" w:lastRowFirstColumn="0" w:lastRowLastColumn="0"/>
          <w:cantSplit/>
        </w:trPr>
        <w:tc>
          <w:tcPr>
            <w:tcW w:w="2802" w:type="dxa"/>
          </w:tcPr>
          <w:p w:rsidR="007D40E3" w:rsidRDefault="007D40E3" w:rsidP="00A96D61">
            <w:proofErr w:type="spellStart"/>
            <w:r>
              <w:t>aRst</w:t>
            </w:r>
            <w:proofErr w:type="spellEnd"/>
            <w:r>
              <w:t>(_n)</w:t>
            </w:r>
          </w:p>
        </w:tc>
        <w:tc>
          <w:tcPr>
            <w:tcW w:w="1134" w:type="dxa"/>
          </w:tcPr>
          <w:p w:rsidR="007D40E3" w:rsidRDefault="007D40E3" w:rsidP="00A96D61">
            <w:pPr>
              <w:jc w:val="center"/>
            </w:pPr>
            <w:r>
              <w:t>-</w:t>
            </w:r>
          </w:p>
        </w:tc>
        <w:tc>
          <w:tcPr>
            <w:tcW w:w="1559" w:type="dxa"/>
          </w:tcPr>
          <w:p w:rsidR="007D40E3" w:rsidRDefault="007D40E3" w:rsidP="00A96D61">
            <w:pPr>
              <w:jc w:val="center"/>
            </w:pPr>
            <w:r>
              <w:t>I</w:t>
            </w:r>
          </w:p>
        </w:tc>
        <w:tc>
          <w:tcPr>
            <w:tcW w:w="992" w:type="dxa"/>
          </w:tcPr>
          <w:p w:rsidR="007D40E3" w:rsidRDefault="007D40E3" w:rsidP="00A96D61">
            <w:pPr>
              <w:jc w:val="center"/>
            </w:pPr>
            <w:r>
              <w:t>N/A</w:t>
            </w:r>
          </w:p>
        </w:tc>
        <w:tc>
          <w:tcPr>
            <w:tcW w:w="3334" w:type="dxa"/>
          </w:tcPr>
          <w:p w:rsidR="007D40E3" w:rsidRDefault="007D40E3" w:rsidP="007D40E3">
            <w:r>
              <w:t xml:space="preserve">Asynchronous reset of configurable polarity. Assert, if </w:t>
            </w:r>
            <w:proofErr w:type="spellStart"/>
            <w:r>
              <w:t>PixelClk</w:t>
            </w:r>
            <w:proofErr w:type="spellEnd"/>
            <w:r>
              <w:t xml:space="preserve"> and </w:t>
            </w:r>
            <w:proofErr w:type="spellStart"/>
            <w:r>
              <w:t>SerialClk</w:t>
            </w:r>
            <w:proofErr w:type="spellEnd"/>
            <w:r>
              <w:t xml:space="preserve"> are not within spec.</w:t>
            </w:r>
          </w:p>
        </w:tc>
      </w:tr>
      <w:tr w:rsidR="007D40E3" w:rsidTr="00F640EF">
        <w:trPr>
          <w:cnfStyle w:val="000000100000" w:firstRow="0" w:lastRow="0" w:firstColumn="0" w:lastColumn="0" w:oddVBand="0" w:evenVBand="0" w:oddHBand="1" w:evenHBand="0" w:firstRowFirstColumn="0" w:firstRowLastColumn="0" w:lastRowFirstColumn="0" w:lastRowLastColumn="0"/>
          <w:cantSplit/>
        </w:trPr>
        <w:tc>
          <w:tcPr>
            <w:tcW w:w="2802" w:type="dxa"/>
          </w:tcPr>
          <w:p w:rsidR="007D40E3" w:rsidRDefault="007D40E3" w:rsidP="00A96D61">
            <w:proofErr w:type="spellStart"/>
            <w:r>
              <w:t>Clk_p</w:t>
            </w:r>
            <w:proofErr w:type="spellEnd"/>
            <w:r>
              <w:t>/</w:t>
            </w:r>
            <w:proofErr w:type="spellStart"/>
            <w:r>
              <w:t>Clk_n</w:t>
            </w:r>
            <w:proofErr w:type="spellEnd"/>
          </w:p>
        </w:tc>
        <w:tc>
          <w:tcPr>
            <w:tcW w:w="1134" w:type="dxa"/>
          </w:tcPr>
          <w:p w:rsidR="007D40E3" w:rsidRDefault="007D40E3" w:rsidP="00A96D61">
            <w:pPr>
              <w:jc w:val="center"/>
            </w:pPr>
            <w:proofErr w:type="spellStart"/>
            <w:r>
              <w:t>tmds</w:t>
            </w:r>
            <w:proofErr w:type="spellEnd"/>
          </w:p>
        </w:tc>
        <w:tc>
          <w:tcPr>
            <w:tcW w:w="1559" w:type="dxa"/>
          </w:tcPr>
          <w:p w:rsidR="007D40E3" w:rsidRDefault="007D40E3" w:rsidP="00A96D61">
            <w:pPr>
              <w:jc w:val="center"/>
            </w:pPr>
            <w:r>
              <w:t>O</w:t>
            </w:r>
          </w:p>
        </w:tc>
        <w:tc>
          <w:tcPr>
            <w:tcW w:w="992" w:type="dxa"/>
          </w:tcPr>
          <w:p w:rsidR="007D40E3" w:rsidRDefault="007D40E3" w:rsidP="00A96D61">
            <w:pPr>
              <w:jc w:val="center"/>
            </w:pPr>
            <w:r>
              <w:t>N/A</w:t>
            </w:r>
          </w:p>
        </w:tc>
        <w:tc>
          <w:tcPr>
            <w:tcW w:w="3334" w:type="dxa"/>
          </w:tcPr>
          <w:p w:rsidR="007D40E3" w:rsidRDefault="007D40E3" w:rsidP="00A96D61">
            <w:r>
              <w:t>DVI Clock Channel.</w:t>
            </w:r>
          </w:p>
        </w:tc>
      </w:tr>
      <w:tr w:rsidR="007D40E3" w:rsidTr="00F640EF">
        <w:trPr>
          <w:cnfStyle w:val="000000010000" w:firstRow="0" w:lastRow="0" w:firstColumn="0" w:lastColumn="0" w:oddVBand="0" w:evenVBand="0" w:oddHBand="0" w:evenHBand="1" w:firstRowFirstColumn="0" w:firstRowLastColumn="0" w:lastRowFirstColumn="0" w:lastRowLastColumn="0"/>
          <w:cantSplit/>
        </w:trPr>
        <w:tc>
          <w:tcPr>
            <w:tcW w:w="2802" w:type="dxa"/>
          </w:tcPr>
          <w:p w:rsidR="007D40E3" w:rsidRDefault="007D40E3" w:rsidP="00A96D61">
            <w:proofErr w:type="spellStart"/>
            <w:r>
              <w:t>Data_p</w:t>
            </w:r>
            <w:proofErr w:type="spellEnd"/>
            <w:r>
              <w:t>[2:0]/</w:t>
            </w:r>
            <w:proofErr w:type="spellStart"/>
            <w:r>
              <w:t>Data_n</w:t>
            </w:r>
            <w:proofErr w:type="spellEnd"/>
            <w:r>
              <w:t>[2:0]</w:t>
            </w:r>
          </w:p>
        </w:tc>
        <w:tc>
          <w:tcPr>
            <w:tcW w:w="1134" w:type="dxa"/>
          </w:tcPr>
          <w:p w:rsidR="007D40E3" w:rsidRDefault="007D40E3" w:rsidP="00A96D61">
            <w:pPr>
              <w:jc w:val="center"/>
            </w:pPr>
            <w:proofErr w:type="spellStart"/>
            <w:r>
              <w:t>tmds</w:t>
            </w:r>
            <w:proofErr w:type="spellEnd"/>
          </w:p>
        </w:tc>
        <w:tc>
          <w:tcPr>
            <w:tcW w:w="1559" w:type="dxa"/>
          </w:tcPr>
          <w:p w:rsidR="007D40E3" w:rsidRDefault="007D40E3" w:rsidP="00A96D61">
            <w:pPr>
              <w:jc w:val="center"/>
            </w:pPr>
            <w:r>
              <w:t>O</w:t>
            </w:r>
          </w:p>
        </w:tc>
        <w:tc>
          <w:tcPr>
            <w:tcW w:w="992" w:type="dxa"/>
          </w:tcPr>
          <w:p w:rsidR="007D40E3" w:rsidRDefault="007D40E3" w:rsidP="00A96D61">
            <w:pPr>
              <w:jc w:val="center"/>
            </w:pPr>
            <w:r>
              <w:t>N/A</w:t>
            </w:r>
          </w:p>
        </w:tc>
        <w:tc>
          <w:tcPr>
            <w:tcW w:w="3334" w:type="dxa"/>
          </w:tcPr>
          <w:p w:rsidR="007D40E3" w:rsidRDefault="007D40E3" w:rsidP="00A96D61">
            <w:r>
              <w:t>DVI Data Channel 0.</w:t>
            </w:r>
          </w:p>
        </w:tc>
      </w:tr>
      <w:tr w:rsidR="007D40E3" w:rsidTr="00F640EF">
        <w:trPr>
          <w:cnfStyle w:val="000000100000" w:firstRow="0" w:lastRow="0" w:firstColumn="0" w:lastColumn="0" w:oddVBand="0" w:evenVBand="0" w:oddHBand="1" w:evenHBand="0" w:firstRowFirstColumn="0" w:firstRowLastColumn="0" w:lastRowFirstColumn="0" w:lastRowLastColumn="0"/>
          <w:cantSplit/>
        </w:trPr>
        <w:tc>
          <w:tcPr>
            <w:tcW w:w="2802" w:type="dxa"/>
          </w:tcPr>
          <w:p w:rsidR="007D40E3" w:rsidRDefault="007D40E3" w:rsidP="00A96D61">
            <w:proofErr w:type="spellStart"/>
            <w:r>
              <w:t>PixelClk</w:t>
            </w:r>
            <w:proofErr w:type="spellEnd"/>
          </w:p>
        </w:tc>
        <w:tc>
          <w:tcPr>
            <w:tcW w:w="1134" w:type="dxa"/>
          </w:tcPr>
          <w:p w:rsidR="007D40E3" w:rsidRDefault="00895D7C" w:rsidP="00A96D61">
            <w:pPr>
              <w:jc w:val="center"/>
            </w:pPr>
            <w:r>
              <w:t>-</w:t>
            </w:r>
          </w:p>
        </w:tc>
        <w:tc>
          <w:tcPr>
            <w:tcW w:w="1559" w:type="dxa"/>
          </w:tcPr>
          <w:p w:rsidR="007D40E3" w:rsidRDefault="007D40E3" w:rsidP="00A96D61">
            <w:pPr>
              <w:jc w:val="center"/>
            </w:pPr>
            <w:r>
              <w:t>I</w:t>
            </w:r>
          </w:p>
        </w:tc>
        <w:tc>
          <w:tcPr>
            <w:tcW w:w="992" w:type="dxa"/>
          </w:tcPr>
          <w:p w:rsidR="007D40E3" w:rsidRDefault="007D40E3" w:rsidP="00A96D61">
            <w:pPr>
              <w:jc w:val="center"/>
            </w:pPr>
            <w:r>
              <w:t>N/A</w:t>
            </w:r>
          </w:p>
        </w:tc>
        <w:tc>
          <w:tcPr>
            <w:tcW w:w="3334" w:type="dxa"/>
          </w:tcPr>
          <w:p w:rsidR="007D40E3" w:rsidRDefault="007D40E3" w:rsidP="007D40E3">
            <w:r>
              <w:t>Pixel clock.</w:t>
            </w:r>
          </w:p>
        </w:tc>
      </w:tr>
      <w:tr w:rsidR="007D40E3" w:rsidTr="00F640EF">
        <w:trPr>
          <w:cnfStyle w:val="000000010000" w:firstRow="0" w:lastRow="0" w:firstColumn="0" w:lastColumn="0" w:oddVBand="0" w:evenVBand="0" w:oddHBand="0" w:evenHBand="1" w:firstRowFirstColumn="0" w:firstRowLastColumn="0" w:lastRowFirstColumn="0" w:lastRowLastColumn="0"/>
          <w:cantSplit/>
        </w:trPr>
        <w:tc>
          <w:tcPr>
            <w:tcW w:w="2802" w:type="dxa"/>
          </w:tcPr>
          <w:p w:rsidR="007D40E3" w:rsidRDefault="007D40E3" w:rsidP="00A96D61">
            <w:proofErr w:type="spellStart"/>
            <w:r>
              <w:t>pVDE</w:t>
            </w:r>
            <w:proofErr w:type="spellEnd"/>
          </w:p>
        </w:tc>
        <w:tc>
          <w:tcPr>
            <w:tcW w:w="1134" w:type="dxa"/>
          </w:tcPr>
          <w:p w:rsidR="007D40E3" w:rsidRDefault="00895D7C" w:rsidP="00A96D61">
            <w:pPr>
              <w:jc w:val="center"/>
            </w:pPr>
            <w:proofErr w:type="spellStart"/>
            <w:r>
              <w:t>vid_io</w:t>
            </w:r>
            <w:proofErr w:type="spellEnd"/>
          </w:p>
        </w:tc>
        <w:tc>
          <w:tcPr>
            <w:tcW w:w="1559" w:type="dxa"/>
          </w:tcPr>
          <w:p w:rsidR="007D40E3" w:rsidRDefault="007D40E3" w:rsidP="00A96D61">
            <w:pPr>
              <w:jc w:val="center"/>
            </w:pPr>
            <w:r>
              <w:t>I</w:t>
            </w:r>
          </w:p>
        </w:tc>
        <w:tc>
          <w:tcPr>
            <w:tcW w:w="992" w:type="dxa"/>
          </w:tcPr>
          <w:p w:rsidR="007D40E3" w:rsidRDefault="007D61F2" w:rsidP="00A96D61">
            <w:pPr>
              <w:jc w:val="center"/>
            </w:pPr>
            <w:r>
              <w:t>N/A</w:t>
            </w:r>
          </w:p>
        </w:tc>
        <w:tc>
          <w:tcPr>
            <w:tcW w:w="3334" w:type="dxa"/>
          </w:tcPr>
          <w:p w:rsidR="007D40E3" w:rsidRDefault="007D40E3" w:rsidP="00A96D61">
            <w:r>
              <w:t>Video data valid:</w:t>
            </w:r>
          </w:p>
          <w:p w:rsidR="007D40E3" w:rsidRPr="00F15832" w:rsidRDefault="007D40E3" w:rsidP="00A96D61">
            <w:pPr>
              <w:autoSpaceDE w:val="0"/>
              <w:autoSpaceDN w:val="0"/>
              <w:adjustRightInd w:val="0"/>
              <w:rPr>
                <w:rFonts w:eastAsia="Calibri" w:cs="Arial"/>
                <w:szCs w:val="22"/>
              </w:rPr>
            </w:pPr>
            <w:r w:rsidRPr="00F15832">
              <w:rPr>
                <w:rFonts w:eastAsia="Calibri" w:cs="Arial"/>
                <w:szCs w:val="22"/>
              </w:rPr>
              <w:t xml:space="preserve">• 1 = </w:t>
            </w:r>
            <w:r>
              <w:rPr>
                <w:rFonts w:eastAsia="Calibri" w:cs="Arial"/>
                <w:szCs w:val="22"/>
              </w:rPr>
              <w:t>Active video</w:t>
            </w:r>
            <w:r w:rsidRPr="00F15832">
              <w:rPr>
                <w:rFonts w:eastAsia="Calibri" w:cs="Arial"/>
                <w:szCs w:val="22"/>
              </w:rPr>
              <w:t>.</w:t>
            </w:r>
          </w:p>
          <w:p w:rsidR="007D40E3" w:rsidRDefault="007D40E3" w:rsidP="00A96D61">
            <w:r w:rsidRPr="00F15832">
              <w:rPr>
                <w:rFonts w:eastAsia="Calibri" w:cs="Arial"/>
                <w:szCs w:val="22"/>
              </w:rPr>
              <w:t xml:space="preserve">• 0 = </w:t>
            </w:r>
            <w:r>
              <w:rPr>
                <w:rFonts w:eastAsia="Calibri" w:cs="Arial"/>
                <w:szCs w:val="22"/>
              </w:rPr>
              <w:t>Blanking period</w:t>
            </w:r>
            <w:r w:rsidRPr="00F15832">
              <w:rPr>
                <w:rFonts w:eastAsia="Calibri" w:cs="Arial"/>
                <w:szCs w:val="22"/>
              </w:rPr>
              <w:t>.</w:t>
            </w:r>
          </w:p>
        </w:tc>
      </w:tr>
      <w:tr w:rsidR="007D40E3" w:rsidTr="00F640EF">
        <w:trPr>
          <w:cnfStyle w:val="000000100000" w:firstRow="0" w:lastRow="0" w:firstColumn="0" w:lastColumn="0" w:oddVBand="0" w:evenVBand="0" w:oddHBand="1" w:evenHBand="0" w:firstRowFirstColumn="0" w:firstRowLastColumn="0" w:lastRowFirstColumn="0" w:lastRowLastColumn="0"/>
          <w:cantSplit/>
        </w:trPr>
        <w:tc>
          <w:tcPr>
            <w:tcW w:w="2802" w:type="dxa"/>
          </w:tcPr>
          <w:p w:rsidR="007D40E3" w:rsidRDefault="007D40E3" w:rsidP="00A96D61">
            <w:proofErr w:type="spellStart"/>
            <w:r>
              <w:t>pHSync</w:t>
            </w:r>
            <w:proofErr w:type="spellEnd"/>
          </w:p>
        </w:tc>
        <w:tc>
          <w:tcPr>
            <w:tcW w:w="1134" w:type="dxa"/>
          </w:tcPr>
          <w:p w:rsidR="007D40E3" w:rsidRDefault="00895D7C" w:rsidP="00A96D61">
            <w:pPr>
              <w:jc w:val="center"/>
            </w:pPr>
            <w:proofErr w:type="spellStart"/>
            <w:r>
              <w:t>vid_io</w:t>
            </w:r>
            <w:proofErr w:type="spellEnd"/>
          </w:p>
        </w:tc>
        <w:tc>
          <w:tcPr>
            <w:tcW w:w="1559" w:type="dxa"/>
          </w:tcPr>
          <w:p w:rsidR="007D40E3" w:rsidRDefault="007D40E3" w:rsidP="00A96D61">
            <w:pPr>
              <w:jc w:val="center"/>
            </w:pPr>
            <w:r>
              <w:t>I</w:t>
            </w:r>
          </w:p>
        </w:tc>
        <w:tc>
          <w:tcPr>
            <w:tcW w:w="992" w:type="dxa"/>
          </w:tcPr>
          <w:p w:rsidR="007D40E3" w:rsidRDefault="007D61F2" w:rsidP="00A96D61">
            <w:pPr>
              <w:jc w:val="center"/>
            </w:pPr>
            <w:r>
              <w:t>N/A</w:t>
            </w:r>
          </w:p>
        </w:tc>
        <w:tc>
          <w:tcPr>
            <w:tcW w:w="3334" w:type="dxa"/>
          </w:tcPr>
          <w:p w:rsidR="007D40E3" w:rsidRDefault="007D40E3" w:rsidP="00A96D61">
            <w:r>
              <w:t>Horizontal synchronization video timing signal.</w:t>
            </w:r>
          </w:p>
        </w:tc>
      </w:tr>
      <w:tr w:rsidR="007D40E3" w:rsidTr="00F640EF">
        <w:trPr>
          <w:cnfStyle w:val="000000010000" w:firstRow="0" w:lastRow="0" w:firstColumn="0" w:lastColumn="0" w:oddVBand="0" w:evenVBand="0" w:oddHBand="0" w:evenHBand="1" w:firstRowFirstColumn="0" w:firstRowLastColumn="0" w:lastRowFirstColumn="0" w:lastRowLastColumn="0"/>
          <w:cantSplit/>
        </w:trPr>
        <w:tc>
          <w:tcPr>
            <w:tcW w:w="2802" w:type="dxa"/>
          </w:tcPr>
          <w:p w:rsidR="007D40E3" w:rsidRDefault="007D40E3" w:rsidP="00A96D61">
            <w:proofErr w:type="spellStart"/>
            <w:r>
              <w:t>pVSync</w:t>
            </w:r>
            <w:proofErr w:type="spellEnd"/>
          </w:p>
        </w:tc>
        <w:tc>
          <w:tcPr>
            <w:tcW w:w="1134" w:type="dxa"/>
          </w:tcPr>
          <w:p w:rsidR="007D40E3" w:rsidRDefault="00895D7C" w:rsidP="00A96D61">
            <w:pPr>
              <w:jc w:val="center"/>
            </w:pPr>
            <w:proofErr w:type="spellStart"/>
            <w:r>
              <w:t>vid_io</w:t>
            </w:r>
            <w:proofErr w:type="spellEnd"/>
          </w:p>
        </w:tc>
        <w:tc>
          <w:tcPr>
            <w:tcW w:w="1559" w:type="dxa"/>
          </w:tcPr>
          <w:p w:rsidR="007D40E3" w:rsidRDefault="007D40E3" w:rsidP="00A96D61">
            <w:pPr>
              <w:jc w:val="center"/>
            </w:pPr>
            <w:r>
              <w:t>I</w:t>
            </w:r>
          </w:p>
        </w:tc>
        <w:tc>
          <w:tcPr>
            <w:tcW w:w="992" w:type="dxa"/>
          </w:tcPr>
          <w:p w:rsidR="007D40E3" w:rsidRDefault="007D61F2" w:rsidP="00A96D61">
            <w:pPr>
              <w:jc w:val="center"/>
            </w:pPr>
            <w:r>
              <w:t>N/A</w:t>
            </w:r>
          </w:p>
        </w:tc>
        <w:tc>
          <w:tcPr>
            <w:tcW w:w="3334" w:type="dxa"/>
          </w:tcPr>
          <w:p w:rsidR="007D40E3" w:rsidRDefault="007D40E3" w:rsidP="00A96D61">
            <w:r>
              <w:t>Vertical synchronization video timing signal.</w:t>
            </w:r>
          </w:p>
        </w:tc>
      </w:tr>
      <w:tr w:rsidR="007D40E3" w:rsidTr="00F640EF">
        <w:trPr>
          <w:cnfStyle w:val="000000100000" w:firstRow="0" w:lastRow="0" w:firstColumn="0" w:lastColumn="0" w:oddVBand="0" w:evenVBand="0" w:oddHBand="1" w:evenHBand="0" w:firstRowFirstColumn="0" w:firstRowLastColumn="0" w:lastRowFirstColumn="0" w:lastRowLastColumn="0"/>
          <w:cantSplit/>
        </w:trPr>
        <w:tc>
          <w:tcPr>
            <w:tcW w:w="2802" w:type="dxa"/>
          </w:tcPr>
          <w:p w:rsidR="007D40E3" w:rsidRDefault="007D40E3" w:rsidP="00A96D61">
            <w:proofErr w:type="spellStart"/>
            <w:r>
              <w:t>p</w:t>
            </w:r>
            <w:r w:rsidR="00B43A9B">
              <w:t>Data</w:t>
            </w:r>
            <w:proofErr w:type="spellEnd"/>
            <w:r>
              <w:t xml:space="preserve"> (</w:t>
            </w:r>
            <w:r w:rsidR="00B43A9B">
              <w:t>23</w:t>
            </w:r>
            <w:r>
              <w:t>:0)</w:t>
            </w:r>
          </w:p>
        </w:tc>
        <w:tc>
          <w:tcPr>
            <w:tcW w:w="1134" w:type="dxa"/>
          </w:tcPr>
          <w:p w:rsidR="007D40E3" w:rsidRDefault="00895D7C" w:rsidP="00A96D61">
            <w:pPr>
              <w:jc w:val="center"/>
            </w:pPr>
            <w:proofErr w:type="spellStart"/>
            <w:r>
              <w:t>vid_io</w:t>
            </w:r>
            <w:proofErr w:type="spellEnd"/>
          </w:p>
        </w:tc>
        <w:tc>
          <w:tcPr>
            <w:tcW w:w="1559" w:type="dxa"/>
          </w:tcPr>
          <w:p w:rsidR="007D40E3" w:rsidRDefault="007D40E3" w:rsidP="00A96D61">
            <w:pPr>
              <w:jc w:val="center"/>
            </w:pPr>
            <w:r>
              <w:t>I</w:t>
            </w:r>
          </w:p>
        </w:tc>
        <w:tc>
          <w:tcPr>
            <w:tcW w:w="992" w:type="dxa"/>
          </w:tcPr>
          <w:p w:rsidR="007D40E3" w:rsidRDefault="007D61F2" w:rsidP="00A96D61">
            <w:pPr>
              <w:jc w:val="center"/>
            </w:pPr>
            <w:r>
              <w:t>N/A</w:t>
            </w:r>
          </w:p>
        </w:tc>
        <w:tc>
          <w:tcPr>
            <w:tcW w:w="3334" w:type="dxa"/>
          </w:tcPr>
          <w:p w:rsidR="007D40E3" w:rsidRPr="00F15832" w:rsidRDefault="007D40E3" w:rsidP="00A96D61">
            <w:pPr>
              <w:autoSpaceDE w:val="0"/>
              <w:autoSpaceDN w:val="0"/>
              <w:adjustRightInd w:val="0"/>
              <w:rPr>
                <w:rFonts w:cs="Arial"/>
                <w:szCs w:val="22"/>
              </w:rPr>
            </w:pPr>
            <w:r>
              <w:rPr>
                <w:rFonts w:eastAsia="Calibri" w:cs="Arial"/>
                <w:szCs w:val="22"/>
              </w:rPr>
              <w:t xml:space="preserve">Video </w:t>
            </w:r>
            <w:r w:rsidR="00B43A9B">
              <w:rPr>
                <w:rFonts w:eastAsia="Calibri" w:cs="Arial"/>
                <w:szCs w:val="22"/>
              </w:rPr>
              <w:t>pixel</w:t>
            </w:r>
            <w:r>
              <w:rPr>
                <w:rFonts w:eastAsia="Calibri" w:cs="Arial"/>
                <w:szCs w:val="22"/>
              </w:rPr>
              <w:t xml:space="preserve"> data</w:t>
            </w:r>
            <w:r w:rsidR="00B43A9B">
              <w:rPr>
                <w:rFonts w:eastAsia="Calibri" w:cs="Arial"/>
                <w:szCs w:val="22"/>
              </w:rPr>
              <w:t xml:space="preserve"> packed as RBG.</w:t>
            </w:r>
          </w:p>
        </w:tc>
      </w:tr>
    </w:tbl>
    <w:p w:rsidR="007D40E3" w:rsidRDefault="00CA6430" w:rsidP="00CA6430">
      <w:pPr>
        <w:pStyle w:val="Caption"/>
      </w:pPr>
      <w:bookmarkStart w:id="2" w:name="_Ref403557775"/>
      <w:bookmarkStart w:id="3" w:name="_Ref403557772"/>
      <w:r>
        <w:t xml:space="preserve">Table </w:t>
      </w:r>
      <w:r w:rsidR="00563B50">
        <w:fldChar w:fldCharType="begin"/>
      </w:r>
      <w:r w:rsidR="00FA4B7E">
        <w:instrText xml:space="preserve"> SEQ Table \* ARABIC </w:instrText>
      </w:r>
      <w:r w:rsidR="00563B50">
        <w:fldChar w:fldCharType="separate"/>
      </w:r>
      <w:r w:rsidR="00FF6161">
        <w:rPr>
          <w:noProof/>
        </w:rPr>
        <w:t>1</w:t>
      </w:r>
      <w:r w:rsidR="00563B50">
        <w:rPr>
          <w:noProof/>
        </w:rPr>
        <w:fldChar w:fldCharType="end"/>
      </w:r>
      <w:bookmarkEnd w:id="2"/>
      <w:r>
        <w:t>. Port descriptions.</w:t>
      </w:r>
      <w:bookmarkEnd w:id="3"/>
    </w:p>
    <w:p w:rsidR="00CA6430" w:rsidRDefault="00CA6430" w:rsidP="00CA6430">
      <w:pPr>
        <w:pStyle w:val="Heading1"/>
      </w:pPr>
      <w:r>
        <w:tab/>
        <w:t>Designing with the core</w:t>
      </w:r>
    </w:p>
    <w:p w:rsidR="00CA6430" w:rsidRDefault="00CA6430" w:rsidP="00CA6430">
      <w:pPr>
        <w:pStyle w:val="Heading2"/>
      </w:pPr>
      <w:r>
        <w:tab/>
        <w:t>Customization</w:t>
      </w:r>
    </w:p>
    <w:p w:rsidR="00CA6430" w:rsidRDefault="00CA6430" w:rsidP="00CA6430">
      <w:r>
        <w:t xml:space="preserve">The IP provides </w:t>
      </w:r>
      <w:r w:rsidR="00D14E72">
        <w:t>some</w:t>
      </w:r>
      <w:r w:rsidR="00895D7C">
        <w:t xml:space="preserve"> </w:t>
      </w:r>
      <w:r>
        <w:t xml:space="preserve">customizable parameters: the polarity of the reset signal and the option to generate </w:t>
      </w:r>
      <w:proofErr w:type="spellStart"/>
      <w:r>
        <w:t>SerialClk</w:t>
      </w:r>
      <w:proofErr w:type="spellEnd"/>
      <w:r>
        <w:t xml:space="preserve"> inter</w:t>
      </w:r>
      <w:r w:rsidR="000A4333">
        <w:t>nally</w:t>
      </w:r>
      <w:r w:rsidR="00D14E72">
        <w:t>, among others</w:t>
      </w:r>
      <w:r w:rsidR="000A4333">
        <w:t>. Upon enabling the latter</w:t>
      </w:r>
      <w:r w:rsidR="008D6A87">
        <w:t>,</w:t>
      </w:r>
      <w:r>
        <w:t xml:space="preserve"> the user has the further option to choose the type of primitive (MMCM or PLL) to instantiate.</w:t>
      </w:r>
    </w:p>
    <w:p w:rsidR="00637515" w:rsidRDefault="00637515" w:rsidP="00CA6430">
      <w:r>
        <w:t xml:space="preserve">Setting the expected </w:t>
      </w:r>
      <w:proofErr w:type="spellStart"/>
      <w:r>
        <w:t>PixelClk</w:t>
      </w:r>
      <w:proofErr w:type="spellEnd"/>
      <w:r>
        <w:t xml:space="preserve"> frequency </w:t>
      </w:r>
      <w:r>
        <w:t xml:space="preserve">when the serial clock is generated internally </w:t>
      </w:r>
      <w:r>
        <w:t xml:space="preserve">enables the IP to instantiate FPGA primitives that respect timing requirements. If the actual pixel clock </w:t>
      </w:r>
      <w:r>
        <w:t>frequency</w:t>
      </w:r>
      <w:r>
        <w:t xml:space="preserve"> falls outside the range set here, the VCO operating range of the FPGA might not be respected and in extreme cases clock </w:t>
      </w:r>
      <w:r>
        <w:t>generation</w:t>
      </w:r>
      <w:r>
        <w:t xml:space="preserve"> might fail and the video stream will not be </w:t>
      </w:r>
      <w:r>
        <w:t>encoded</w:t>
      </w:r>
      <w:r>
        <w:t xml:space="preserve"> properly.</w:t>
      </w:r>
    </w:p>
    <w:p w:rsidR="00D14E72" w:rsidRPr="00CA6430" w:rsidRDefault="00D14E72" w:rsidP="00CA6430">
      <w:r>
        <w:t>If the target board inverts one or more of the TMDS data or clock lanes by swapping the P and N sides, the lanes can be inverted back independently using the customization wizard.</w:t>
      </w:r>
    </w:p>
    <w:bookmarkEnd w:id="0"/>
    <w:p w:rsidR="00DE740D" w:rsidRDefault="0045104B" w:rsidP="00DE740D">
      <w:pPr>
        <w:pStyle w:val="Heading1"/>
      </w:pPr>
      <w:r>
        <w:tab/>
      </w:r>
      <w:r w:rsidR="00DE740D">
        <w:t>References</w:t>
      </w:r>
    </w:p>
    <w:p w:rsidR="00B91396" w:rsidRPr="00F640EF" w:rsidRDefault="00B91396" w:rsidP="00F640EF">
      <w:r>
        <w:t>The following documents provide additional information on the subjects discussed:</w:t>
      </w:r>
    </w:p>
    <w:p w:rsidR="00DE740D" w:rsidRDefault="00DE740D" w:rsidP="00DE740D">
      <w:pPr>
        <w:numPr>
          <w:ilvl w:val="0"/>
          <w:numId w:val="17"/>
        </w:numPr>
        <w:spacing w:after="0" w:line="240" w:lineRule="auto"/>
      </w:pPr>
      <w:bookmarkStart w:id="4" w:name="_Ref403050525"/>
      <w:r>
        <w:t xml:space="preserve">Xilinx Inc., </w:t>
      </w:r>
      <w:r>
        <w:rPr>
          <w:i/>
        </w:rPr>
        <w:t xml:space="preserve">UG471: 7 Series FPGAs </w:t>
      </w:r>
      <w:proofErr w:type="spellStart"/>
      <w:r>
        <w:rPr>
          <w:i/>
        </w:rPr>
        <w:t>SelectIO</w:t>
      </w:r>
      <w:proofErr w:type="spellEnd"/>
      <w:r>
        <w:rPr>
          <w:i/>
        </w:rPr>
        <w:t xml:space="preserve"> Resources</w:t>
      </w:r>
      <w:r w:rsidR="004527CA">
        <w:t>, v1.4</w:t>
      </w:r>
      <w:r>
        <w:t xml:space="preserve">, </w:t>
      </w:r>
      <w:r w:rsidR="004527CA">
        <w:t>May 13, 2014</w:t>
      </w:r>
      <w:r>
        <w:t>.</w:t>
      </w:r>
      <w:bookmarkEnd w:id="4"/>
    </w:p>
    <w:p w:rsidR="00DE740D" w:rsidRDefault="00DE740D" w:rsidP="00DE740D">
      <w:pPr>
        <w:numPr>
          <w:ilvl w:val="0"/>
          <w:numId w:val="17"/>
        </w:numPr>
        <w:spacing w:after="0" w:line="240" w:lineRule="auto"/>
      </w:pPr>
      <w:r>
        <w:lastRenderedPageBreak/>
        <w:t xml:space="preserve">Xilinx Inc., </w:t>
      </w:r>
      <w:r>
        <w:rPr>
          <w:i/>
        </w:rPr>
        <w:t>UG472: 7 Series</w:t>
      </w:r>
      <w:r w:rsidRPr="00D80AC4">
        <w:rPr>
          <w:i/>
        </w:rPr>
        <w:t xml:space="preserve"> FPGA</w:t>
      </w:r>
      <w:r>
        <w:rPr>
          <w:i/>
        </w:rPr>
        <w:t>s</w:t>
      </w:r>
      <w:r w:rsidRPr="00D80AC4">
        <w:rPr>
          <w:i/>
        </w:rPr>
        <w:t xml:space="preserve"> Clocking Resources</w:t>
      </w:r>
      <w:r>
        <w:t>, v1.6, October 2, 2012.</w:t>
      </w:r>
    </w:p>
    <w:p w:rsidR="00DE740D" w:rsidRDefault="00DE740D" w:rsidP="00DE740D">
      <w:pPr>
        <w:numPr>
          <w:ilvl w:val="0"/>
          <w:numId w:val="17"/>
        </w:numPr>
        <w:spacing w:after="0" w:line="240" w:lineRule="auto"/>
      </w:pPr>
      <w:r>
        <w:t xml:space="preserve">Xilinx Inc., </w:t>
      </w:r>
      <w:r>
        <w:rPr>
          <w:i/>
        </w:rPr>
        <w:t>XAPP460: Video Connectivity Using TMDS I/O in Spartan-3A FPGAs</w:t>
      </w:r>
      <w:r>
        <w:t>, V1.1, June 24, 2011.</w:t>
      </w:r>
    </w:p>
    <w:p w:rsidR="00DE740D" w:rsidRDefault="00DE740D" w:rsidP="00DE740D">
      <w:pPr>
        <w:numPr>
          <w:ilvl w:val="0"/>
          <w:numId w:val="17"/>
        </w:numPr>
        <w:spacing w:after="0" w:line="240" w:lineRule="auto"/>
      </w:pPr>
      <w:r>
        <w:t xml:space="preserve">Xilinx Inc., </w:t>
      </w:r>
      <w:r w:rsidRPr="00E90C02">
        <w:rPr>
          <w:i/>
        </w:rPr>
        <w:t>XAPP495:</w:t>
      </w:r>
      <w:r>
        <w:t xml:space="preserve"> </w:t>
      </w:r>
      <w:r w:rsidRPr="00026054">
        <w:rPr>
          <w:i/>
        </w:rPr>
        <w:t>Implementing a TMDS Video Interface in the Spartan-6 FPGA</w:t>
      </w:r>
      <w:r>
        <w:t>, v1.0, December 13, 2010.</w:t>
      </w:r>
    </w:p>
    <w:p w:rsidR="00DE740D" w:rsidRDefault="00DE740D" w:rsidP="00DE740D">
      <w:pPr>
        <w:numPr>
          <w:ilvl w:val="0"/>
          <w:numId w:val="17"/>
        </w:numPr>
        <w:spacing w:after="0" w:line="240" w:lineRule="auto"/>
      </w:pPr>
      <w:r>
        <w:t xml:space="preserve">Xilinx Inc., </w:t>
      </w:r>
      <w:r>
        <w:rPr>
          <w:i/>
        </w:rPr>
        <w:t>WP249: SPI-4.2 Dynamic Phase Alignment</w:t>
      </w:r>
      <w:r>
        <w:t>, v1.3, July 6, 2011.</w:t>
      </w:r>
    </w:p>
    <w:p w:rsidR="00DE740D" w:rsidRDefault="00DE740D" w:rsidP="00DE740D">
      <w:pPr>
        <w:numPr>
          <w:ilvl w:val="0"/>
          <w:numId w:val="17"/>
        </w:numPr>
        <w:spacing w:after="0" w:line="240" w:lineRule="auto"/>
      </w:pPr>
      <w:r>
        <w:t xml:space="preserve">DDWG: </w:t>
      </w:r>
      <w:r w:rsidRPr="008804CD">
        <w:rPr>
          <w:i/>
        </w:rPr>
        <w:t>Digital Visual Interface DVI</w:t>
      </w:r>
      <w:r>
        <w:t>, Revision 1.0, April 2, 1999.</w:t>
      </w:r>
    </w:p>
    <w:p w:rsidR="006D2A08" w:rsidRDefault="0021318E" w:rsidP="00F640EF">
      <w:pPr>
        <w:numPr>
          <w:ilvl w:val="0"/>
          <w:numId w:val="17"/>
        </w:numPr>
        <w:spacing w:after="0" w:line="240" w:lineRule="auto"/>
      </w:pPr>
      <w:bookmarkStart w:id="5" w:name="_Ref403044880"/>
      <w:r>
        <w:t xml:space="preserve">Xilinx Inc., UG903: </w:t>
      </w:r>
      <w:r w:rsidRPr="0021318E">
        <w:t>Using Constraints</w:t>
      </w:r>
      <w:r>
        <w:t>, v2014.3, October 31, 2014</w:t>
      </w:r>
      <w:bookmarkEnd w:id="5"/>
    </w:p>
    <w:sectPr w:rsidR="006D2A08" w:rsidSect="00896F5F">
      <w:headerReference w:type="default" r:id="rId12"/>
      <w:footerReference w:type="default" r:id="rId13"/>
      <w:headerReference w:type="first" r:id="rId14"/>
      <w:footerReference w:type="first" r:id="rId15"/>
      <w:pgSz w:w="12240" w:h="15840"/>
      <w:pgMar w:top="765" w:right="1440" w:bottom="810" w:left="1440" w:header="720" w:footer="10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4F35" w:rsidRDefault="006A4F35" w:rsidP="00E315A5">
      <w:r>
        <w:separator/>
      </w:r>
    </w:p>
  </w:endnote>
  <w:endnote w:type="continuationSeparator" w:id="0">
    <w:p w:rsidR="006A4F35" w:rsidRDefault="006A4F35" w:rsidP="00E315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single" w:sz="12" w:space="0" w:color="D9D9D9" w:themeColor="background1" w:themeShade="D9"/>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7398"/>
      <w:gridCol w:w="2178"/>
    </w:tblGrid>
    <w:tr w:rsidR="004F1CE4" w:rsidTr="00E065CE">
      <w:trPr>
        <w:trHeight w:val="238"/>
      </w:trPr>
      <w:tc>
        <w:tcPr>
          <w:tcW w:w="7398" w:type="dxa"/>
          <w:shd w:val="clear" w:color="auto" w:fill="FFFFFF" w:themeFill="background1"/>
          <w:vAlign w:val="center"/>
        </w:tcPr>
        <w:p w:rsidR="004F1CE4" w:rsidRPr="00EA2837" w:rsidRDefault="004F1CE4" w:rsidP="00402274">
          <w:pPr>
            <w:pStyle w:val="Footer"/>
            <w:spacing w:line="120" w:lineRule="exact"/>
            <w:rPr>
              <w:color w:val="000000" w:themeColor="text1"/>
              <w:sz w:val="14"/>
              <w:szCs w:val="14"/>
            </w:rPr>
          </w:pPr>
          <w:r w:rsidRPr="00EA2837">
            <w:rPr>
              <w:color w:val="000000" w:themeColor="text1"/>
              <w:sz w:val="14"/>
              <w:szCs w:val="14"/>
            </w:rPr>
            <w:t>Copyright Digilent, Inc. All rights reserved.</w:t>
          </w:r>
        </w:p>
        <w:p w:rsidR="004F1CE4" w:rsidRDefault="004F1CE4" w:rsidP="00402274">
          <w:pPr>
            <w:pStyle w:val="Footer"/>
            <w:spacing w:line="120" w:lineRule="exact"/>
          </w:pPr>
          <w:r w:rsidRPr="00EA2837">
            <w:rPr>
              <w:color w:val="000000" w:themeColor="text1"/>
              <w:sz w:val="14"/>
              <w:szCs w:val="14"/>
            </w:rPr>
            <w:t>Other product and company names mentioned may be trademarks of their respective owners.</w:t>
          </w:r>
        </w:p>
      </w:tc>
      <w:tc>
        <w:tcPr>
          <w:tcW w:w="2178" w:type="dxa"/>
          <w:shd w:val="clear" w:color="auto" w:fill="FFFFFF" w:themeFill="background1"/>
          <w:vAlign w:val="center"/>
        </w:tcPr>
        <w:p w:rsidR="004F1CE4" w:rsidRDefault="004F1CE4" w:rsidP="00E065CE">
          <w:pPr>
            <w:pStyle w:val="Footer"/>
            <w:jc w:val="right"/>
          </w:pPr>
          <w:r w:rsidRPr="00162709">
            <w:rPr>
              <w:sz w:val="20"/>
            </w:rPr>
            <w:t xml:space="preserve">Page </w:t>
          </w:r>
          <w:r w:rsidR="00563B50" w:rsidRPr="00162709">
            <w:rPr>
              <w:b/>
              <w:sz w:val="20"/>
            </w:rPr>
            <w:fldChar w:fldCharType="begin"/>
          </w:r>
          <w:r w:rsidRPr="00162709">
            <w:rPr>
              <w:b/>
              <w:sz w:val="20"/>
            </w:rPr>
            <w:instrText xml:space="preserve"> PAGE  \* Arabic  \* MERGEFORMAT </w:instrText>
          </w:r>
          <w:r w:rsidR="00563B50" w:rsidRPr="00162709">
            <w:rPr>
              <w:b/>
              <w:sz w:val="20"/>
            </w:rPr>
            <w:fldChar w:fldCharType="separate"/>
          </w:r>
          <w:r w:rsidR="00FF6161">
            <w:rPr>
              <w:b/>
              <w:noProof/>
              <w:sz w:val="20"/>
            </w:rPr>
            <w:t>5</w:t>
          </w:r>
          <w:r w:rsidR="00563B50" w:rsidRPr="00162709">
            <w:rPr>
              <w:b/>
              <w:sz w:val="20"/>
            </w:rPr>
            <w:fldChar w:fldCharType="end"/>
          </w:r>
          <w:r w:rsidRPr="00162709">
            <w:rPr>
              <w:sz w:val="20"/>
            </w:rPr>
            <w:t xml:space="preserve"> of </w:t>
          </w:r>
          <w:r w:rsidR="006A4F35">
            <w:fldChar w:fldCharType="begin"/>
          </w:r>
          <w:r w:rsidR="006A4F35">
            <w:instrText xml:space="preserve"> NUMPAGES  \* Arabic  \* MERGEFORMAT </w:instrText>
          </w:r>
          <w:r w:rsidR="006A4F35">
            <w:fldChar w:fldCharType="separate"/>
          </w:r>
          <w:r w:rsidR="00FF6161" w:rsidRPr="00FF6161">
            <w:rPr>
              <w:b/>
              <w:noProof/>
              <w:sz w:val="20"/>
            </w:rPr>
            <w:t>5</w:t>
          </w:r>
          <w:r w:rsidR="006A4F35">
            <w:rPr>
              <w:b/>
              <w:noProof/>
              <w:sz w:val="20"/>
            </w:rPr>
            <w:fldChar w:fldCharType="end"/>
          </w:r>
        </w:p>
      </w:tc>
    </w:tr>
  </w:tbl>
  <w:p w:rsidR="004F1CE4" w:rsidRDefault="004F1CE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single" w:sz="12" w:space="0" w:color="00532C" w:themeColor="accent3" w:themeShade="BF"/>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8"/>
      <w:gridCol w:w="6750"/>
      <w:gridCol w:w="1278"/>
    </w:tblGrid>
    <w:tr w:rsidR="004F1CE4" w:rsidTr="003B25BC">
      <w:trPr>
        <w:trHeight w:val="238"/>
      </w:trPr>
      <w:tc>
        <w:tcPr>
          <w:tcW w:w="1548" w:type="dxa"/>
          <w:shd w:val="clear" w:color="auto" w:fill="00532C" w:themeFill="accent3" w:themeFillShade="BF"/>
          <w:vAlign w:val="center"/>
        </w:tcPr>
        <w:p w:rsidR="004F1CE4" w:rsidRDefault="004F1CE4" w:rsidP="001A6B27">
          <w:pPr>
            <w:pStyle w:val="Footer"/>
            <w:jc w:val="center"/>
          </w:pPr>
          <w:r w:rsidRPr="00162709">
            <w:rPr>
              <w:sz w:val="20"/>
            </w:rPr>
            <w:t>DOC#:</w:t>
          </w:r>
          <w:r w:rsidR="00915340">
            <w:rPr>
              <w:sz w:val="20"/>
            </w:rPr>
            <w:t xml:space="preserve"> </w:t>
          </w:r>
          <w:r w:rsidR="00C716FF">
            <w:rPr>
              <w:sz w:val="20"/>
            </w:rPr>
            <w:t>516-001</w:t>
          </w:r>
        </w:p>
      </w:tc>
      <w:tc>
        <w:tcPr>
          <w:tcW w:w="6750" w:type="dxa"/>
          <w:vAlign w:val="center"/>
        </w:tcPr>
        <w:p w:rsidR="004F1CE4" w:rsidRPr="00F93DE7" w:rsidRDefault="004F1CE4" w:rsidP="003B25BC">
          <w:pPr>
            <w:pStyle w:val="Footer"/>
            <w:spacing w:line="120" w:lineRule="exact"/>
            <w:jc w:val="center"/>
            <w:rPr>
              <w:color w:val="00532C" w:themeColor="accent3" w:themeShade="BF"/>
              <w:sz w:val="14"/>
              <w:szCs w:val="14"/>
            </w:rPr>
          </w:pPr>
          <w:r w:rsidRPr="00F93DE7">
            <w:rPr>
              <w:color w:val="00532C" w:themeColor="accent3" w:themeShade="BF"/>
              <w:sz w:val="14"/>
              <w:szCs w:val="14"/>
            </w:rPr>
            <w:t>Copyright Digilent, Inc. All rights reserved.</w:t>
          </w:r>
        </w:p>
        <w:p w:rsidR="004F1CE4" w:rsidRDefault="004F1CE4" w:rsidP="003B25BC">
          <w:pPr>
            <w:pStyle w:val="Footer"/>
            <w:spacing w:line="120" w:lineRule="exact"/>
            <w:jc w:val="center"/>
          </w:pPr>
          <w:r w:rsidRPr="00F93DE7">
            <w:rPr>
              <w:color w:val="00532C" w:themeColor="accent3" w:themeShade="BF"/>
              <w:sz w:val="14"/>
              <w:szCs w:val="14"/>
            </w:rPr>
            <w:t>Other product and company names mentioned may be trademarks of their respective owners.</w:t>
          </w:r>
        </w:p>
      </w:tc>
      <w:tc>
        <w:tcPr>
          <w:tcW w:w="1278" w:type="dxa"/>
          <w:shd w:val="clear" w:color="auto" w:fill="00532C" w:themeFill="accent3" w:themeFillShade="BF"/>
          <w:vAlign w:val="center"/>
        </w:tcPr>
        <w:p w:rsidR="004F1CE4" w:rsidRDefault="004F1CE4" w:rsidP="003B25BC">
          <w:pPr>
            <w:pStyle w:val="Footer"/>
            <w:jc w:val="center"/>
          </w:pPr>
          <w:r w:rsidRPr="00162709">
            <w:rPr>
              <w:sz w:val="20"/>
            </w:rPr>
            <w:t xml:space="preserve">Page </w:t>
          </w:r>
          <w:r w:rsidR="00563B50" w:rsidRPr="00162709">
            <w:rPr>
              <w:b/>
              <w:sz w:val="20"/>
            </w:rPr>
            <w:fldChar w:fldCharType="begin"/>
          </w:r>
          <w:r w:rsidRPr="00162709">
            <w:rPr>
              <w:b/>
              <w:sz w:val="20"/>
            </w:rPr>
            <w:instrText xml:space="preserve"> PAGE  \* Arabic  \* MERGEFORMAT </w:instrText>
          </w:r>
          <w:r w:rsidR="00563B50" w:rsidRPr="00162709">
            <w:rPr>
              <w:b/>
              <w:sz w:val="20"/>
            </w:rPr>
            <w:fldChar w:fldCharType="separate"/>
          </w:r>
          <w:r w:rsidR="00FF6161">
            <w:rPr>
              <w:b/>
              <w:noProof/>
              <w:sz w:val="20"/>
            </w:rPr>
            <w:t>1</w:t>
          </w:r>
          <w:r w:rsidR="00563B50" w:rsidRPr="00162709">
            <w:rPr>
              <w:b/>
              <w:sz w:val="20"/>
            </w:rPr>
            <w:fldChar w:fldCharType="end"/>
          </w:r>
          <w:r w:rsidRPr="00162709">
            <w:rPr>
              <w:sz w:val="20"/>
            </w:rPr>
            <w:t xml:space="preserve"> of </w:t>
          </w:r>
          <w:r w:rsidR="006A4F35">
            <w:fldChar w:fldCharType="begin"/>
          </w:r>
          <w:r w:rsidR="006A4F35">
            <w:instrText xml:space="preserve"> NUMPAGES  \* Arabic  \* MERGEFORMAT </w:instrText>
          </w:r>
          <w:r w:rsidR="006A4F35">
            <w:fldChar w:fldCharType="separate"/>
          </w:r>
          <w:r w:rsidR="00FF6161" w:rsidRPr="00FF6161">
            <w:rPr>
              <w:b/>
              <w:noProof/>
              <w:sz w:val="20"/>
            </w:rPr>
            <w:t>5</w:t>
          </w:r>
          <w:r w:rsidR="006A4F35">
            <w:rPr>
              <w:b/>
              <w:noProof/>
              <w:sz w:val="20"/>
            </w:rPr>
            <w:fldChar w:fldCharType="end"/>
          </w:r>
        </w:p>
      </w:tc>
    </w:tr>
  </w:tbl>
  <w:p w:rsidR="004F1CE4" w:rsidRDefault="004F1CE4" w:rsidP="003B25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4F35" w:rsidRDefault="006A4F35" w:rsidP="00E315A5">
      <w:r>
        <w:separator/>
      </w:r>
    </w:p>
  </w:footnote>
  <w:footnote w:type="continuationSeparator" w:id="0">
    <w:p w:rsidR="006A4F35" w:rsidRDefault="006A4F35" w:rsidP="00E315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bottom w:val="single" w:sz="12" w:space="0" w:color="D9D9D9" w:themeColor="background1" w:themeShade="D9"/>
        <w:right w:val="none" w:sz="0" w:space="0" w:color="auto"/>
        <w:insideH w:val="none" w:sz="0" w:space="0" w:color="auto"/>
        <w:insideV w:val="none" w:sz="0" w:space="0" w:color="auto"/>
      </w:tblBorders>
      <w:tblLook w:val="04A0" w:firstRow="1" w:lastRow="0" w:firstColumn="1" w:lastColumn="0" w:noHBand="0" w:noVBand="1"/>
    </w:tblPr>
    <w:tblGrid>
      <w:gridCol w:w="7668"/>
      <w:gridCol w:w="1908"/>
    </w:tblGrid>
    <w:tr w:rsidR="004F1CE4" w:rsidTr="00EA2837">
      <w:trPr>
        <w:trHeight w:val="90"/>
      </w:trPr>
      <w:tc>
        <w:tcPr>
          <w:tcW w:w="7668" w:type="dxa"/>
          <w:vAlign w:val="center"/>
        </w:tcPr>
        <w:p w:rsidR="004F1CE4" w:rsidRPr="00F82C33" w:rsidRDefault="00101827" w:rsidP="00101827">
          <w:pPr>
            <w:pStyle w:val="Header"/>
            <w:rPr>
              <w:b/>
            </w:rPr>
          </w:pPr>
          <w:r>
            <w:rPr>
              <w:b/>
            </w:rPr>
            <w:t>RGB-to-</w:t>
          </w:r>
          <w:r w:rsidR="004F1CE4" w:rsidRPr="00F372EE">
            <w:rPr>
              <w:b/>
            </w:rPr>
            <w:t>DVI (S</w:t>
          </w:r>
          <w:r>
            <w:rPr>
              <w:b/>
            </w:rPr>
            <w:t>ource</w:t>
          </w:r>
          <w:r w:rsidR="004F1CE4" w:rsidRPr="00F372EE">
            <w:rPr>
              <w:b/>
            </w:rPr>
            <w:t xml:space="preserve">) </w:t>
          </w:r>
          <w:r w:rsidR="00C06CE6" w:rsidRPr="00C06CE6">
            <w:rPr>
              <w:b/>
            </w:rPr>
            <w:t>1.</w:t>
          </w:r>
          <w:r w:rsidR="00D14E72">
            <w:rPr>
              <w:b/>
            </w:rPr>
            <w:t>4</w:t>
          </w:r>
          <w:r w:rsidR="00C06CE6">
            <w:rPr>
              <w:b/>
            </w:rPr>
            <w:t xml:space="preserve"> </w:t>
          </w:r>
          <w:r w:rsidR="004F1CE4" w:rsidRPr="00F372EE">
            <w:rPr>
              <w:b/>
            </w:rPr>
            <w:t>IP Core</w:t>
          </w:r>
          <w:r w:rsidR="004F1CE4">
            <w:rPr>
              <w:b/>
            </w:rPr>
            <w:t xml:space="preserve"> User Guide</w:t>
          </w:r>
        </w:p>
      </w:tc>
      <w:tc>
        <w:tcPr>
          <w:tcW w:w="1908" w:type="dxa"/>
        </w:tcPr>
        <w:p w:rsidR="004F1CE4" w:rsidRDefault="004F1CE4" w:rsidP="00F82C33">
          <w:pPr>
            <w:pStyle w:val="Header"/>
            <w:jc w:val="right"/>
          </w:pPr>
          <w:r>
            <w:rPr>
              <w:noProof/>
            </w:rPr>
            <w:drawing>
              <wp:inline distT="0" distB="0" distL="0" distR="0">
                <wp:extent cx="1047750" cy="23708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gilent.emf"/>
                        <pic:cNvPicPr/>
                      </pic:nvPicPr>
                      <pic:blipFill>
                        <a:blip r:embed="rId1">
                          <a:extLst>
                            <a:ext uri="{28A0092B-C50C-407E-A947-70E740481C1C}">
                              <a14:useLocalDpi xmlns:a14="http://schemas.microsoft.com/office/drawing/2010/main" val="0"/>
                            </a:ext>
                          </a:extLst>
                        </a:blip>
                        <a:stretch>
                          <a:fillRect/>
                        </a:stretch>
                      </pic:blipFill>
                      <pic:spPr>
                        <a:xfrm>
                          <a:off x="0" y="0"/>
                          <a:ext cx="1049853" cy="237563"/>
                        </a:xfrm>
                        <a:prstGeom prst="rect">
                          <a:avLst/>
                        </a:prstGeom>
                      </pic:spPr>
                    </pic:pic>
                  </a:graphicData>
                </a:graphic>
              </wp:inline>
            </w:drawing>
          </w:r>
        </w:p>
      </w:tc>
    </w:tr>
  </w:tbl>
  <w:p w:rsidR="004F1CE4" w:rsidRPr="00F82C33" w:rsidRDefault="004F1CE4" w:rsidP="0009162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bottom w:val="single" w:sz="18" w:space="0" w:color="006600"/>
        <w:right w:val="none" w:sz="0" w:space="0" w:color="auto"/>
        <w:insideH w:val="none" w:sz="0" w:space="0" w:color="auto"/>
        <w:insideV w:val="none" w:sz="0" w:space="0" w:color="auto"/>
      </w:tblBorders>
      <w:tblLook w:val="04A0" w:firstRow="1" w:lastRow="0" w:firstColumn="1" w:lastColumn="0" w:noHBand="0" w:noVBand="1"/>
    </w:tblPr>
    <w:tblGrid>
      <w:gridCol w:w="6498"/>
      <w:gridCol w:w="3078"/>
    </w:tblGrid>
    <w:tr w:rsidR="004F1CE4" w:rsidTr="003B25BC">
      <w:trPr>
        <w:trHeight w:val="990"/>
      </w:trPr>
      <w:tc>
        <w:tcPr>
          <w:tcW w:w="6498" w:type="dxa"/>
          <w:vAlign w:val="center"/>
        </w:tcPr>
        <w:p w:rsidR="004F1CE4" w:rsidRPr="0010542D" w:rsidRDefault="004F1CE4" w:rsidP="00E315A5">
          <w:pPr>
            <w:pStyle w:val="Header"/>
          </w:pPr>
          <w:r>
            <w:rPr>
              <w:noProof/>
            </w:rPr>
            <w:drawing>
              <wp:inline distT="0" distB="0" distL="0" distR="0">
                <wp:extent cx="2517198" cy="569343"/>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gilent.e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2529360" cy="572094"/>
                        </a:xfrm>
                        <a:prstGeom prst="rect">
                          <a:avLst/>
                        </a:prstGeom>
                      </pic:spPr>
                    </pic:pic>
                  </a:graphicData>
                </a:graphic>
              </wp:inline>
            </w:drawing>
          </w:r>
        </w:p>
      </w:tc>
      <w:tc>
        <w:tcPr>
          <w:tcW w:w="3078" w:type="dxa"/>
          <w:vAlign w:val="center"/>
        </w:tcPr>
        <w:p w:rsidR="004F1CE4" w:rsidRPr="003B25BC" w:rsidRDefault="004F1CE4" w:rsidP="003B25BC">
          <w:pPr>
            <w:pStyle w:val="Contactinfo"/>
          </w:pPr>
          <w:r w:rsidRPr="003B25BC">
            <w:t>1300 Henley Court</w:t>
          </w:r>
        </w:p>
        <w:p w:rsidR="004F1CE4" w:rsidRPr="003B25BC" w:rsidRDefault="004F1CE4" w:rsidP="003B25BC">
          <w:pPr>
            <w:pStyle w:val="Contactinfo"/>
          </w:pPr>
          <w:r w:rsidRPr="003B25BC">
            <w:t>Pullman, WA 99163</w:t>
          </w:r>
          <w:r w:rsidRPr="003B25BC">
            <w:br/>
            <w:t>509.334.6306</w:t>
          </w:r>
        </w:p>
        <w:p w:rsidR="004F1CE4" w:rsidRPr="00F93DE7" w:rsidRDefault="004F1CE4" w:rsidP="003B25BC">
          <w:pPr>
            <w:pStyle w:val="Contactinfo"/>
          </w:pPr>
          <w:r w:rsidRPr="003B25BC">
            <w:t>www.digilentinc.com</w:t>
          </w:r>
        </w:p>
      </w:tc>
    </w:tr>
    <w:tr w:rsidR="004F1CE4" w:rsidTr="00B74CBE">
      <w:trPr>
        <w:trHeight w:val="1080"/>
      </w:trPr>
      <w:tc>
        <w:tcPr>
          <w:tcW w:w="9576" w:type="dxa"/>
          <w:gridSpan w:val="2"/>
          <w:vAlign w:val="center"/>
        </w:tcPr>
        <w:p w:rsidR="004F1CE4" w:rsidRPr="00B74CBE" w:rsidRDefault="004F1CE4" w:rsidP="00AA07A8">
          <w:pPr>
            <w:pStyle w:val="Title"/>
          </w:pPr>
          <w:r>
            <w:t>RGB</w:t>
          </w:r>
          <w:r w:rsidR="00101827">
            <w:t>-to-DVI</w:t>
          </w:r>
          <w:r>
            <w:t xml:space="preserve"> (S</w:t>
          </w:r>
          <w:r w:rsidR="00101827">
            <w:t>ource</w:t>
          </w:r>
          <w:r>
            <w:t xml:space="preserve">) </w:t>
          </w:r>
          <w:r w:rsidR="00C06CE6">
            <w:t>1.</w:t>
          </w:r>
          <w:r w:rsidR="00F10A6A">
            <w:t>4</w:t>
          </w:r>
          <w:r w:rsidR="00C06CE6">
            <w:t xml:space="preserve"> </w:t>
          </w:r>
          <w:r>
            <w:t>IP Core</w:t>
          </w:r>
          <w:r w:rsidR="008D6A87">
            <w:t xml:space="preserve"> User Guide</w:t>
          </w:r>
        </w:p>
        <w:p w:rsidR="004F1CE4" w:rsidRPr="00050D85" w:rsidRDefault="004F1CE4" w:rsidP="006E1EF7">
          <w:pPr>
            <w:pStyle w:val="Subtitle"/>
          </w:pPr>
          <w:r w:rsidRPr="00CA699C">
            <w:t xml:space="preserve">Revised </w:t>
          </w:r>
          <w:r w:rsidR="006E1EF7">
            <w:fldChar w:fldCharType="begin"/>
          </w:r>
          <w:r w:rsidR="006E1EF7">
            <w:instrText xml:space="preserve"> DATE \@ "MMMM d, yyyy" </w:instrText>
          </w:r>
          <w:r w:rsidR="006E1EF7">
            <w:fldChar w:fldCharType="separate"/>
          </w:r>
          <w:r w:rsidR="00FF6161">
            <w:rPr>
              <w:noProof/>
            </w:rPr>
            <w:t>September 6, 2017</w:t>
          </w:r>
          <w:r w:rsidR="006E1EF7">
            <w:fldChar w:fldCharType="end"/>
          </w:r>
          <w:r>
            <w:t>; Author Elod Gyorgy</w:t>
          </w:r>
        </w:p>
      </w:tc>
    </w:tr>
  </w:tbl>
  <w:p w:rsidR="004F1CE4" w:rsidRPr="00E315A5" w:rsidRDefault="004F1CE4" w:rsidP="00BB22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37A31"/>
    <w:multiLevelType w:val="hybridMultilevel"/>
    <w:tmpl w:val="E514E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775D9A"/>
    <w:multiLevelType w:val="hybridMultilevel"/>
    <w:tmpl w:val="4FB07B0C"/>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2" w15:restartNumberingAfterBreak="0">
    <w:nsid w:val="2FC67E97"/>
    <w:multiLevelType w:val="hybridMultilevel"/>
    <w:tmpl w:val="83583D9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352047FF"/>
    <w:multiLevelType w:val="multilevel"/>
    <w:tmpl w:val="BE1025F0"/>
    <w:lvl w:ilvl="0">
      <w:start w:val="1"/>
      <w:numFmt w:val="decimal"/>
      <w:pStyle w:val="Heading1"/>
      <w:suff w:val="space"/>
      <w:lvlText w:val="%1"/>
      <w:lvlJc w:val="left"/>
      <w:pPr>
        <w:ind w:left="720" w:hanging="720"/>
      </w:pPr>
      <w:rPr>
        <w:rFonts w:hint="default"/>
      </w:rPr>
    </w:lvl>
    <w:lvl w:ilvl="1">
      <w:start w:val="1"/>
      <w:numFmt w:val="decimal"/>
      <w:pStyle w:val="Heading2"/>
      <w:suff w:val="space"/>
      <w:lvlText w:val="%1.%2"/>
      <w:lvlJc w:val="left"/>
      <w:pPr>
        <w:ind w:left="720" w:hanging="720"/>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720" w:hanging="720"/>
      </w:pPr>
      <w:rPr>
        <w:rFonts w:hint="default"/>
      </w:rPr>
    </w:lvl>
    <w:lvl w:ilvl="4">
      <w:start w:val="1"/>
      <w:numFmt w:val="lowerLetter"/>
      <w:lvlText w:val="%5."/>
      <w:lvlJc w:val="left"/>
      <w:pPr>
        <w:ind w:left="720" w:hanging="720"/>
      </w:pPr>
      <w:rPr>
        <w:rFonts w:hint="default"/>
      </w:rPr>
    </w:lvl>
    <w:lvl w:ilvl="5">
      <w:start w:val="1"/>
      <w:numFmt w:val="lowerRoman"/>
      <w:lvlText w:val="%6."/>
      <w:lvlJc w:val="right"/>
      <w:pPr>
        <w:ind w:left="720" w:hanging="720"/>
      </w:pPr>
      <w:rPr>
        <w:rFonts w:hint="default"/>
      </w:rPr>
    </w:lvl>
    <w:lvl w:ilvl="6">
      <w:start w:val="1"/>
      <w:numFmt w:val="decimal"/>
      <w:lvlText w:val="%7."/>
      <w:lvlJc w:val="left"/>
      <w:pPr>
        <w:ind w:left="720" w:hanging="720"/>
      </w:pPr>
      <w:rPr>
        <w:rFonts w:hint="default"/>
      </w:rPr>
    </w:lvl>
    <w:lvl w:ilvl="7">
      <w:start w:val="1"/>
      <w:numFmt w:val="lowerLetter"/>
      <w:lvlText w:val="%8."/>
      <w:lvlJc w:val="left"/>
      <w:pPr>
        <w:ind w:left="720" w:hanging="720"/>
      </w:pPr>
      <w:rPr>
        <w:rFonts w:hint="default"/>
      </w:rPr>
    </w:lvl>
    <w:lvl w:ilvl="8">
      <w:start w:val="1"/>
      <w:numFmt w:val="lowerRoman"/>
      <w:lvlText w:val="%9."/>
      <w:lvlJc w:val="right"/>
      <w:pPr>
        <w:ind w:left="720" w:hanging="720"/>
      </w:pPr>
      <w:rPr>
        <w:rFonts w:hint="default"/>
      </w:rPr>
    </w:lvl>
  </w:abstractNum>
  <w:abstractNum w:abstractNumId="4" w15:restartNumberingAfterBreak="0">
    <w:nsid w:val="438802A6"/>
    <w:multiLevelType w:val="multilevel"/>
    <w:tmpl w:val="B76C2354"/>
    <w:lvl w:ilvl="0">
      <w:start w:val="1"/>
      <w:numFmt w:val="decimal"/>
      <w:suff w:val="space"/>
      <w:lvlText w:val="%1"/>
      <w:lvlJc w:val="left"/>
      <w:pPr>
        <w:ind w:left="720" w:hanging="720"/>
      </w:pPr>
      <w:rPr>
        <w:rFonts w:hint="default"/>
      </w:rPr>
    </w:lvl>
    <w:lvl w:ilvl="1">
      <w:start w:val="1"/>
      <w:numFmt w:val="decimal"/>
      <w:suff w:val="space"/>
      <w:lvlText w:val="%1.%2"/>
      <w:lvlJc w:val="left"/>
      <w:pPr>
        <w:ind w:left="1440" w:hanging="363"/>
      </w:pPr>
      <w:rPr>
        <w:rFonts w:hint="default"/>
      </w:rPr>
    </w:lvl>
    <w:lvl w:ilvl="2">
      <w:start w:val="1"/>
      <w:numFmt w:val="decimal"/>
      <w:suff w:val="space"/>
      <w:lvlText w:val="%1.%2.%3"/>
      <w:lvlJc w:val="left"/>
      <w:pPr>
        <w:ind w:left="2160" w:hanging="363"/>
      </w:pPr>
      <w:rPr>
        <w:rFonts w:hint="default"/>
      </w:rPr>
    </w:lvl>
    <w:lvl w:ilvl="3">
      <w:start w:val="1"/>
      <w:numFmt w:val="decimal"/>
      <w:suff w:val="space"/>
      <w:lvlText w:val="%1.%2.%3.%4"/>
      <w:lvlJc w:val="left"/>
      <w:pPr>
        <w:ind w:left="2880" w:hanging="363"/>
      </w:pPr>
      <w:rPr>
        <w:rFonts w:hint="default"/>
      </w:rPr>
    </w:lvl>
    <w:lvl w:ilvl="4">
      <w:start w:val="1"/>
      <w:numFmt w:val="lowerLetter"/>
      <w:lvlText w:val="%5."/>
      <w:lvlJc w:val="left"/>
      <w:pPr>
        <w:ind w:left="3600" w:hanging="363"/>
      </w:pPr>
      <w:rPr>
        <w:rFonts w:hint="default"/>
      </w:rPr>
    </w:lvl>
    <w:lvl w:ilvl="5">
      <w:start w:val="1"/>
      <w:numFmt w:val="lowerRoman"/>
      <w:lvlText w:val="%6."/>
      <w:lvlJc w:val="right"/>
      <w:pPr>
        <w:ind w:left="4320" w:hanging="363"/>
      </w:pPr>
      <w:rPr>
        <w:rFonts w:hint="default"/>
      </w:rPr>
    </w:lvl>
    <w:lvl w:ilvl="6">
      <w:start w:val="1"/>
      <w:numFmt w:val="decimal"/>
      <w:lvlText w:val="%7."/>
      <w:lvlJc w:val="left"/>
      <w:pPr>
        <w:ind w:left="5040" w:hanging="363"/>
      </w:pPr>
      <w:rPr>
        <w:rFonts w:hint="default"/>
      </w:rPr>
    </w:lvl>
    <w:lvl w:ilvl="7">
      <w:start w:val="1"/>
      <w:numFmt w:val="lowerLetter"/>
      <w:lvlText w:val="%8."/>
      <w:lvlJc w:val="left"/>
      <w:pPr>
        <w:ind w:left="5760" w:hanging="363"/>
      </w:pPr>
      <w:rPr>
        <w:rFonts w:hint="default"/>
      </w:rPr>
    </w:lvl>
    <w:lvl w:ilvl="8">
      <w:start w:val="1"/>
      <w:numFmt w:val="lowerRoman"/>
      <w:lvlText w:val="%9."/>
      <w:lvlJc w:val="right"/>
      <w:pPr>
        <w:ind w:left="6480" w:hanging="363"/>
      </w:pPr>
      <w:rPr>
        <w:rFonts w:hint="default"/>
      </w:rPr>
    </w:lvl>
  </w:abstractNum>
  <w:abstractNum w:abstractNumId="5" w15:restartNumberingAfterBreak="0">
    <w:nsid w:val="489B2D64"/>
    <w:multiLevelType w:val="hybridMultilevel"/>
    <w:tmpl w:val="9F38AA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8253E5"/>
    <w:multiLevelType w:val="hybridMultilevel"/>
    <w:tmpl w:val="7A963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921FB4"/>
    <w:multiLevelType w:val="hybridMultilevel"/>
    <w:tmpl w:val="92646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923997"/>
    <w:multiLevelType w:val="hybridMultilevel"/>
    <w:tmpl w:val="4C62C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D662D1"/>
    <w:multiLevelType w:val="hybridMultilevel"/>
    <w:tmpl w:val="87FC2ECC"/>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10" w15:restartNumberingAfterBreak="0">
    <w:nsid w:val="5FBF78AC"/>
    <w:multiLevelType w:val="hybridMultilevel"/>
    <w:tmpl w:val="7E5C378E"/>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11" w15:restartNumberingAfterBreak="0">
    <w:nsid w:val="60B140A7"/>
    <w:multiLevelType w:val="hybridMultilevel"/>
    <w:tmpl w:val="18025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C06096"/>
    <w:multiLevelType w:val="hybridMultilevel"/>
    <w:tmpl w:val="11649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3230606"/>
    <w:multiLevelType w:val="hybridMultilevel"/>
    <w:tmpl w:val="A25405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69204C6"/>
    <w:multiLevelType w:val="hybridMultilevel"/>
    <w:tmpl w:val="8D987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BAC378E"/>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7EF303B2"/>
    <w:multiLevelType w:val="hybridMultilevel"/>
    <w:tmpl w:val="C3E6095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10"/>
  </w:num>
  <w:num w:numId="4">
    <w:abstractNumId w:val="9"/>
  </w:num>
  <w:num w:numId="5">
    <w:abstractNumId w:val="0"/>
  </w:num>
  <w:num w:numId="6">
    <w:abstractNumId w:val="13"/>
  </w:num>
  <w:num w:numId="7">
    <w:abstractNumId w:val="14"/>
  </w:num>
  <w:num w:numId="8">
    <w:abstractNumId w:val="11"/>
  </w:num>
  <w:num w:numId="9">
    <w:abstractNumId w:val="1"/>
  </w:num>
  <w:num w:numId="10">
    <w:abstractNumId w:val="8"/>
  </w:num>
  <w:num w:numId="11">
    <w:abstractNumId w:val="7"/>
  </w:num>
  <w:num w:numId="12">
    <w:abstractNumId w:val="16"/>
  </w:num>
  <w:num w:numId="13">
    <w:abstractNumId w:val="3"/>
  </w:num>
  <w:num w:numId="14">
    <w:abstractNumId w:val="15"/>
  </w:num>
  <w:num w:numId="15">
    <w:abstractNumId w:val="4"/>
  </w:num>
  <w:num w:numId="16">
    <w:abstractNumId w:val="6"/>
  </w:num>
  <w:num w:numId="17">
    <w:abstractNumId w:val="12"/>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efaultTableStyle w:val="LightList-Accent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56AD2"/>
    <w:rsid w:val="00014B51"/>
    <w:rsid w:val="0001511E"/>
    <w:rsid w:val="0001711B"/>
    <w:rsid w:val="00030268"/>
    <w:rsid w:val="00044C8F"/>
    <w:rsid w:val="00050D85"/>
    <w:rsid w:val="00052ACD"/>
    <w:rsid w:val="0005584B"/>
    <w:rsid w:val="000609BE"/>
    <w:rsid w:val="000609DA"/>
    <w:rsid w:val="00061C24"/>
    <w:rsid w:val="00083939"/>
    <w:rsid w:val="00086321"/>
    <w:rsid w:val="0009162B"/>
    <w:rsid w:val="00094EED"/>
    <w:rsid w:val="000A4333"/>
    <w:rsid w:val="000B213E"/>
    <w:rsid w:val="000C5DE3"/>
    <w:rsid w:val="000D5CDC"/>
    <w:rsid w:val="000F14EC"/>
    <w:rsid w:val="00101827"/>
    <w:rsid w:val="0010418B"/>
    <w:rsid w:val="00104909"/>
    <w:rsid w:val="0010542D"/>
    <w:rsid w:val="00111AE9"/>
    <w:rsid w:val="00112604"/>
    <w:rsid w:val="00112D3E"/>
    <w:rsid w:val="00131637"/>
    <w:rsid w:val="00141FB6"/>
    <w:rsid w:val="0014682C"/>
    <w:rsid w:val="00150A8E"/>
    <w:rsid w:val="0015502E"/>
    <w:rsid w:val="00162709"/>
    <w:rsid w:val="0016333D"/>
    <w:rsid w:val="00173627"/>
    <w:rsid w:val="00185F51"/>
    <w:rsid w:val="001910DC"/>
    <w:rsid w:val="00193741"/>
    <w:rsid w:val="00195154"/>
    <w:rsid w:val="00195A36"/>
    <w:rsid w:val="001A4992"/>
    <w:rsid w:val="001A5C61"/>
    <w:rsid w:val="001A6B27"/>
    <w:rsid w:val="001B7786"/>
    <w:rsid w:val="001E67DF"/>
    <w:rsid w:val="002046BD"/>
    <w:rsid w:val="00205EE3"/>
    <w:rsid w:val="0021318E"/>
    <w:rsid w:val="0022332B"/>
    <w:rsid w:val="00233617"/>
    <w:rsid w:val="002435A2"/>
    <w:rsid w:val="00250C7C"/>
    <w:rsid w:val="002537E7"/>
    <w:rsid w:val="00271343"/>
    <w:rsid w:val="002745D5"/>
    <w:rsid w:val="002777A3"/>
    <w:rsid w:val="0027795E"/>
    <w:rsid w:val="00277B16"/>
    <w:rsid w:val="0028140C"/>
    <w:rsid w:val="002B1609"/>
    <w:rsid w:val="002C06F4"/>
    <w:rsid w:val="002E3E20"/>
    <w:rsid w:val="002F685B"/>
    <w:rsid w:val="002F6FCE"/>
    <w:rsid w:val="0030005C"/>
    <w:rsid w:val="00315CBC"/>
    <w:rsid w:val="003318A4"/>
    <w:rsid w:val="00342350"/>
    <w:rsid w:val="00346DD6"/>
    <w:rsid w:val="00351E0F"/>
    <w:rsid w:val="00363E7E"/>
    <w:rsid w:val="00371865"/>
    <w:rsid w:val="0037785B"/>
    <w:rsid w:val="00383298"/>
    <w:rsid w:val="003A43EC"/>
    <w:rsid w:val="003B25BC"/>
    <w:rsid w:val="003B7252"/>
    <w:rsid w:val="003C0565"/>
    <w:rsid w:val="003D48C2"/>
    <w:rsid w:val="004012DD"/>
    <w:rsid w:val="00402274"/>
    <w:rsid w:val="00415539"/>
    <w:rsid w:val="00416146"/>
    <w:rsid w:val="00422788"/>
    <w:rsid w:val="00441C6D"/>
    <w:rsid w:val="00450CE6"/>
    <w:rsid w:val="0045104B"/>
    <w:rsid w:val="004527CA"/>
    <w:rsid w:val="00460E45"/>
    <w:rsid w:val="0046107B"/>
    <w:rsid w:val="00467B3F"/>
    <w:rsid w:val="00467D77"/>
    <w:rsid w:val="004702F3"/>
    <w:rsid w:val="00472CBE"/>
    <w:rsid w:val="00473C48"/>
    <w:rsid w:val="004E02E9"/>
    <w:rsid w:val="004E1138"/>
    <w:rsid w:val="004E5899"/>
    <w:rsid w:val="004F1CE4"/>
    <w:rsid w:val="004F2888"/>
    <w:rsid w:val="00505FAF"/>
    <w:rsid w:val="00510699"/>
    <w:rsid w:val="00527CB5"/>
    <w:rsid w:val="00530CF0"/>
    <w:rsid w:val="005403ED"/>
    <w:rsid w:val="00563B50"/>
    <w:rsid w:val="00574B86"/>
    <w:rsid w:val="00592F44"/>
    <w:rsid w:val="00593694"/>
    <w:rsid w:val="005936C0"/>
    <w:rsid w:val="00593D1D"/>
    <w:rsid w:val="005A1047"/>
    <w:rsid w:val="005A40AD"/>
    <w:rsid w:val="005B0577"/>
    <w:rsid w:val="005B2B34"/>
    <w:rsid w:val="005C57AD"/>
    <w:rsid w:val="00604BEE"/>
    <w:rsid w:val="00611251"/>
    <w:rsid w:val="006127FF"/>
    <w:rsid w:val="00622AC5"/>
    <w:rsid w:val="006261AC"/>
    <w:rsid w:val="00626BE4"/>
    <w:rsid w:val="00636F95"/>
    <w:rsid w:val="00637515"/>
    <w:rsid w:val="00656AD2"/>
    <w:rsid w:val="00657E94"/>
    <w:rsid w:val="006A4F35"/>
    <w:rsid w:val="006B280E"/>
    <w:rsid w:val="006C3D0F"/>
    <w:rsid w:val="006C3F68"/>
    <w:rsid w:val="006D2A08"/>
    <w:rsid w:val="006E068E"/>
    <w:rsid w:val="006E1326"/>
    <w:rsid w:val="006E1B5A"/>
    <w:rsid w:val="006E1EF7"/>
    <w:rsid w:val="006F115E"/>
    <w:rsid w:val="00716D1F"/>
    <w:rsid w:val="00716E2E"/>
    <w:rsid w:val="00720947"/>
    <w:rsid w:val="007265C3"/>
    <w:rsid w:val="007348DE"/>
    <w:rsid w:val="00746041"/>
    <w:rsid w:val="00774582"/>
    <w:rsid w:val="00782515"/>
    <w:rsid w:val="007959AD"/>
    <w:rsid w:val="00796269"/>
    <w:rsid w:val="00796E85"/>
    <w:rsid w:val="007A13E0"/>
    <w:rsid w:val="007A27A3"/>
    <w:rsid w:val="007B220F"/>
    <w:rsid w:val="007C0B4E"/>
    <w:rsid w:val="007C68EB"/>
    <w:rsid w:val="007D1DC6"/>
    <w:rsid w:val="007D40E3"/>
    <w:rsid w:val="007D61F2"/>
    <w:rsid w:val="007E3093"/>
    <w:rsid w:val="007F5AA4"/>
    <w:rsid w:val="00800BDD"/>
    <w:rsid w:val="00815870"/>
    <w:rsid w:val="00830D05"/>
    <w:rsid w:val="008326D7"/>
    <w:rsid w:val="00845BBD"/>
    <w:rsid w:val="008538E9"/>
    <w:rsid w:val="0085641A"/>
    <w:rsid w:val="008817E5"/>
    <w:rsid w:val="00884585"/>
    <w:rsid w:val="008911F7"/>
    <w:rsid w:val="00895D7C"/>
    <w:rsid w:val="00896F5F"/>
    <w:rsid w:val="008A4642"/>
    <w:rsid w:val="008A70FD"/>
    <w:rsid w:val="008C1859"/>
    <w:rsid w:val="008D0A36"/>
    <w:rsid w:val="008D0A61"/>
    <w:rsid w:val="008D5033"/>
    <w:rsid w:val="008D6A87"/>
    <w:rsid w:val="008F4BFE"/>
    <w:rsid w:val="0091073F"/>
    <w:rsid w:val="00915340"/>
    <w:rsid w:val="009267F7"/>
    <w:rsid w:val="009328BD"/>
    <w:rsid w:val="00932DAB"/>
    <w:rsid w:val="009530A8"/>
    <w:rsid w:val="00956457"/>
    <w:rsid w:val="00973091"/>
    <w:rsid w:val="00974B8E"/>
    <w:rsid w:val="009758A2"/>
    <w:rsid w:val="00975D9D"/>
    <w:rsid w:val="00981497"/>
    <w:rsid w:val="009A04F5"/>
    <w:rsid w:val="009A0BFC"/>
    <w:rsid w:val="009B70F0"/>
    <w:rsid w:val="009C1F3A"/>
    <w:rsid w:val="009C28A3"/>
    <w:rsid w:val="00A14FAE"/>
    <w:rsid w:val="00A20CE3"/>
    <w:rsid w:val="00A3131A"/>
    <w:rsid w:val="00A338B4"/>
    <w:rsid w:val="00A4223C"/>
    <w:rsid w:val="00A42B1B"/>
    <w:rsid w:val="00AA0231"/>
    <w:rsid w:val="00AA07A8"/>
    <w:rsid w:val="00AA32F2"/>
    <w:rsid w:val="00AB0E83"/>
    <w:rsid w:val="00AC059B"/>
    <w:rsid w:val="00AF184A"/>
    <w:rsid w:val="00AF463A"/>
    <w:rsid w:val="00AF7E8C"/>
    <w:rsid w:val="00B01A3F"/>
    <w:rsid w:val="00B025B2"/>
    <w:rsid w:val="00B12275"/>
    <w:rsid w:val="00B14818"/>
    <w:rsid w:val="00B32B0E"/>
    <w:rsid w:val="00B43A9B"/>
    <w:rsid w:val="00B45A89"/>
    <w:rsid w:val="00B649C9"/>
    <w:rsid w:val="00B66B0C"/>
    <w:rsid w:val="00B74CBE"/>
    <w:rsid w:val="00B809A9"/>
    <w:rsid w:val="00B9084B"/>
    <w:rsid w:val="00B91396"/>
    <w:rsid w:val="00BB1607"/>
    <w:rsid w:val="00BB22A4"/>
    <w:rsid w:val="00BC17D5"/>
    <w:rsid w:val="00BD0D9D"/>
    <w:rsid w:val="00BD43C7"/>
    <w:rsid w:val="00BF494B"/>
    <w:rsid w:val="00C06CB1"/>
    <w:rsid w:val="00C06CE6"/>
    <w:rsid w:val="00C12203"/>
    <w:rsid w:val="00C140C8"/>
    <w:rsid w:val="00C15A3E"/>
    <w:rsid w:val="00C27387"/>
    <w:rsid w:val="00C36174"/>
    <w:rsid w:val="00C478F7"/>
    <w:rsid w:val="00C63ED8"/>
    <w:rsid w:val="00C716FF"/>
    <w:rsid w:val="00C825CA"/>
    <w:rsid w:val="00C92A4C"/>
    <w:rsid w:val="00CA6430"/>
    <w:rsid w:val="00CA67B0"/>
    <w:rsid w:val="00CA699C"/>
    <w:rsid w:val="00CB2058"/>
    <w:rsid w:val="00CC01D1"/>
    <w:rsid w:val="00CC1590"/>
    <w:rsid w:val="00CD009B"/>
    <w:rsid w:val="00CD6951"/>
    <w:rsid w:val="00CF136D"/>
    <w:rsid w:val="00CF2D81"/>
    <w:rsid w:val="00D103B7"/>
    <w:rsid w:val="00D12CD0"/>
    <w:rsid w:val="00D13D7E"/>
    <w:rsid w:val="00D13DB8"/>
    <w:rsid w:val="00D14E72"/>
    <w:rsid w:val="00D32D0B"/>
    <w:rsid w:val="00D35A16"/>
    <w:rsid w:val="00D44B79"/>
    <w:rsid w:val="00D61152"/>
    <w:rsid w:val="00D6308F"/>
    <w:rsid w:val="00D96A83"/>
    <w:rsid w:val="00D9746A"/>
    <w:rsid w:val="00DB2471"/>
    <w:rsid w:val="00DE740D"/>
    <w:rsid w:val="00DF14F3"/>
    <w:rsid w:val="00DF18AF"/>
    <w:rsid w:val="00E004FA"/>
    <w:rsid w:val="00E05258"/>
    <w:rsid w:val="00E060BF"/>
    <w:rsid w:val="00E065CE"/>
    <w:rsid w:val="00E1103E"/>
    <w:rsid w:val="00E13490"/>
    <w:rsid w:val="00E155B6"/>
    <w:rsid w:val="00E17FCC"/>
    <w:rsid w:val="00E315A5"/>
    <w:rsid w:val="00E3430E"/>
    <w:rsid w:val="00E52372"/>
    <w:rsid w:val="00E637F1"/>
    <w:rsid w:val="00E769F3"/>
    <w:rsid w:val="00E90FF0"/>
    <w:rsid w:val="00EA2837"/>
    <w:rsid w:val="00EB2495"/>
    <w:rsid w:val="00EE0896"/>
    <w:rsid w:val="00F01D78"/>
    <w:rsid w:val="00F03099"/>
    <w:rsid w:val="00F07319"/>
    <w:rsid w:val="00F10A6A"/>
    <w:rsid w:val="00F11B40"/>
    <w:rsid w:val="00F120A7"/>
    <w:rsid w:val="00F1630E"/>
    <w:rsid w:val="00F242A4"/>
    <w:rsid w:val="00F24400"/>
    <w:rsid w:val="00F324C4"/>
    <w:rsid w:val="00F372EE"/>
    <w:rsid w:val="00F40C25"/>
    <w:rsid w:val="00F53EE7"/>
    <w:rsid w:val="00F554C3"/>
    <w:rsid w:val="00F56E1B"/>
    <w:rsid w:val="00F640EF"/>
    <w:rsid w:val="00F7176B"/>
    <w:rsid w:val="00F82C33"/>
    <w:rsid w:val="00F90691"/>
    <w:rsid w:val="00F91CBD"/>
    <w:rsid w:val="00F93DE7"/>
    <w:rsid w:val="00F97800"/>
    <w:rsid w:val="00FA4B7E"/>
    <w:rsid w:val="00FA6E4F"/>
    <w:rsid w:val="00FD3205"/>
    <w:rsid w:val="00FE0220"/>
    <w:rsid w:val="00FE1129"/>
    <w:rsid w:val="00FE4EC5"/>
    <w:rsid w:val="00FF61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7C0749"/>
  <w15:docId w15:val="{A0BD7EDA-5031-444A-9041-21426F080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15539"/>
    <w:rPr>
      <w:szCs w:val="20"/>
    </w:rPr>
  </w:style>
  <w:style w:type="paragraph" w:styleId="Heading1">
    <w:name w:val="heading 1"/>
    <w:basedOn w:val="Normal"/>
    <w:next w:val="Normal"/>
    <w:link w:val="Heading1Char"/>
    <w:uiPriority w:val="9"/>
    <w:qFormat/>
    <w:rsid w:val="001A5C61"/>
    <w:pPr>
      <w:keepNext/>
      <w:numPr>
        <w:numId w:val="13"/>
      </w:numPr>
      <w:spacing w:before="360" w:after="120"/>
      <w:contextualSpacing/>
      <w:outlineLvl w:val="0"/>
    </w:pPr>
    <w:rPr>
      <w:rFonts w:ascii="Arial" w:hAnsi="Arial" w:cs="Arial"/>
      <w:b/>
      <w:color w:val="808080" w:themeColor="background1" w:themeShade="80"/>
      <w:spacing w:val="-20"/>
      <w:w w:val="115"/>
      <w:sz w:val="32"/>
      <w:szCs w:val="32"/>
    </w:rPr>
  </w:style>
  <w:style w:type="paragraph" w:styleId="Heading2">
    <w:name w:val="heading 2"/>
    <w:basedOn w:val="Heading1"/>
    <w:next w:val="Normal"/>
    <w:link w:val="Heading2Char"/>
    <w:uiPriority w:val="9"/>
    <w:unhideWhenUsed/>
    <w:qFormat/>
    <w:rsid w:val="00AA07A8"/>
    <w:pPr>
      <w:numPr>
        <w:ilvl w:val="1"/>
      </w:numPr>
      <w:outlineLvl w:val="1"/>
    </w:pPr>
    <w:rPr>
      <w:sz w:val="28"/>
      <w:szCs w:val="28"/>
    </w:rPr>
  </w:style>
  <w:style w:type="paragraph" w:styleId="Heading3">
    <w:name w:val="heading 3"/>
    <w:basedOn w:val="Heading2"/>
    <w:next w:val="Normal"/>
    <w:link w:val="Heading3Char"/>
    <w:uiPriority w:val="9"/>
    <w:unhideWhenUsed/>
    <w:qFormat/>
    <w:rsid w:val="00A20CE3"/>
    <w:pPr>
      <w:numPr>
        <w:ilvl w:val="2"/>
      </w:numPr>
      <w:outlineLvl w:val="2"/>
    </w:pPr>
    <w:rPr>
      <w:sz w:val="24"/>
      <w:szCs w:val="24"/>
    </w:rPr>
  </w:style>
  <w:style w:type="paragraph" w:styleId="Heading4">
    <w:name w:val="heading 4"/>
    <w:basedOn w:val="Normal"/>
    <w:next w:val="Normal"/>
    <w:link w:val="Heading4Char"/>
    <w:uiPriority w:val="9"/>
    <w:unhideWhenUsed/>
    <w:rsid w:val="008A4642"/>
    <w:pPr>
      <w:keepNext/>
      <w:keepLines/>
      <w:numPr>
        <w:ilvl w:val="3"/>
        <w:numId w:val="13"/>
      </w:numPr>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537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37E7"/>
    <w:rPr>
      <w:rFonts w:ascii="Tahoma" w:hAnsi="Tahoma" w:cs="Tahoma"/>
      <w:sz w:val="16"/>
      <w:szCs w:val="16"/>
    </w:rPr>
  </w:style>
  <w:style w:type="table" w:styleId="TableGrid">
    <w:name w:val="Table Grid"/>
    <w:basedOn w:val="TableNormal"/>
    <w:uiPriority w:val="59"/>
    <w:rsid w:val="00B908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A5C61"/>
    <w:rPr>
      <w:rFonts w:ascii="Arial" w:hAnsi="Arial" w:cs="Arial"/>
      <w:b/>
      <w:color w:val="808080" w:themeColor="background1" w:themeShade="80"/>
      <w:spacing w:val="-20"/>
      <w:w w:val="115"/>
      <w:sz w:val="32"/>
      <w:szCs w:val="32"/>
    </w:rPr>
  </w:style>
  <w:style w:type="paragraph" w:styleId="TOC1">
    <w:name w:val="toc 1"/>
    <w:basedOn w:val="Normal"/>
    <w:next w:val="Normal"/>
    <w:autoRedefine/>
    <w:uiPriority w:val="39"/>
    <w:unhideWhenUsed/>
    <w:qFormat/>
    <w:rsid w:val="008D0A36"/>
    <w:pPr>
      <w:spacing w:before="240" w:after="340"/>
    </w:pPr>
    <w:rPr>
      <w:b/>
      <w:sz w:val="24"/>
    </w:rPr>
  </w:style>
  <w:style w:type="character" w:styleId="Hyperlink">
    <w:name w:val="Hyperlink"/>
    <w:basedOn w:val="DefaultParagraphFont"/>
    <w:uiPriority w:val="99"/>
    <w:unhideWhenUsed/>
    <w:rsid w:val="00800BDD"/>
    <w:rPr>
      <w:color w:val="0000FF" w:themeColor="hyperlink"/>
      <w:u w:val="single"/>
    </w:rPr>
  </w:style>
  <w:style w:type="paragraph" w:styleId="ListParagraph">
    <w:name w:val="List Paragraph"/>
    <w:basedOn w:val="Normal"/>
    <w:uiPriority w:val="34"/>
    <w:qFormat/>
    <w:rsid w:val="00B66B0C"/>
    <w:pPr>
      <w:ind w:left="720"/>
      <w:contextualSpacing/>
    </w:pPr>
  </w:style>
  <w:style w:type="paragraph" w:styleId="TOCHeading">
    <w:name w:val="TOC Heading"/>
    <w:basedOn w:val="Title"/>
    <w:next w:val="Normal"/>
    <w:uiPriority w:val="39"/>
    <w:unhideWhenUsed/>
    <w:qFormat/>
    <w:rsid w:val="008D5033"/>
  </w:style>
  <w:style w:type="character" w:customStyle="1" w:styleId="Heading2Char">
    <w:name w:val="Heading 2 Char"/>
    <w:basedOn w:val="DefaultParagraphFont"/>
    <w:link w:val="Heading2"/>
    <w:uiPriority w:val="9"/>
    <w:rsid w:val="00AA07A8"/>
    <w:rPr>
      <w:rFonts w:ascii="Arial" w:hAnsi="Arial" w:cs="Arial"/>
      <w:b/>
      <w:color w:val="808080" w:themeColor="background1" w:themeShade="80"/>
      <w:spacing w:val="-20"/>
      <w:w w:val="115"/>
      <w:sz w:val="28"/>
      <w:szCs w:val="28"/>
    </w:rPr>
  </w:style>
  <w:style w:type="character" w:customStyle="1" w:styleId="Heading3Char">
    <w:name w:val="Heading 3 Char"/>
    <w:basedOn w:val="DefaultParagraphFont"/>
    <w:link w:val="Heading3"/>
    <w:uiPriority w:val="9"/>
    <w:rsid w:val="00A20CE3"/>
    <w:rPr>
      <w:rFonts w:ascii="Arial" w:hAnsi="Arial" w:cs="Arial"/>
      <w:b/>
      <w:color w:val="00701E"/>
      <w:spacing w:val="14"/>
      <w:w w:val="115"/>
      <w:kern w:val="2"/>
      <w:sz w:val="24"/>
      <w:szCs w:val="24"/>
    </w:rPr>
  </w:style>
  <w:style w:type="paragraph" w:styleId="TOC2">
    <w:name w:val="toc 2"/>
    <w:basedOn w:val="Normal"/>
    <w:next w:val="Normal"/>
    <w:autoRedefine/>
    <w:uiPriority w:val="39"/>
    <w:unhideWhenUsed/>
    <w:qFormat/>
    <w:rsid w:val="008D0A36"/>
    <w:pPr>
      <w:spacing w:after="100"/>
      <w:ind w:left="240"/>
    </w:pPr>
    <w:rPr>
      <w:sz w:val="24"/>
    </w:rPr>
  </w:style>
  <w:style w:type="paragraph" w:styleId="TOC3">
    <w:name w:val="toc 3"/>
    <w:basedOn w:val="Normal"/>
    <w:next w:val="Normal"/>
    <w:autoRedefine/>
    <w:uiPriority w:val="39"/>
    <w:unhideWhenUsed/>
    <w:qFormat/>
    <w:rsid w:val="008D0A36"/>
    <w:pPr>
      <w:spacing w:after="100"/>
      <w:ind w:left="480"/>
    </w:pPr>
    <w:rPr>
      <w:sz w:val="24"/>
    </w:rPr>
  </w:style>
  <w:style w:type="paragraph" w:styleId="Header">
    <w:name w:val="header"/>
    <w:basedOn w:val="Normal"/>
    <w:link w:val="HeaderChar"/>
    <w:uiPriority w:val="99"/>
    <w:unhideWhenUsed/>
    <w:rsid w:val="00C122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2203"/>
    <w:rPr>
      <w:sz w:val="24"/>
      <w:szCs w:val="24"/>
    </w:rPr>
  </w:style>
  <w:style w:type="paragraph" w:styleId="Footer">
    <w:name w:val="footer"/>
    <w:basedOn w:val="Normal"/>
    <w:link w:val="FooterChar"/>
    <w:uiPriority w:val="99"/>
    <w:unhideWhenUsed/>
    <w:rsid w:val="00C122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2203"/>
    <w:rPr>
      <w:sz w:val="24"/>
      <w:szCs w:val="24"/>
    </w:rPr>
  </w:style>
  <w:style w:type="paragraph" w:styleId="Title">
    <w:name w:val="Title"/>
    <w:basedOn w:val="Heading1"/>
    <w:next w:val="Normal"/>
    <w:link w:val="TitleChar"/>
    <w:uiPriority w:val="10"/>
    <w:qFormat/>
    <w:rsid w:val="00A4223C"/>
    <w:pPr>
      <w:numPr>
        <w:numId w:val="0"/>
      </w:numPr>
      <w:spacing w:before="120" w:after="0" w:line="240" w:lineRule="auto"/>
    </w:pPr>
    <w:rPr>
      <w:color w:val="00532C" w:themeColor="accent3" w:themeShade="BF"/>
    </w:rPr>
  </w:style>
  <w:style w:type="character" w:customStyle="1" w:styleId="TitleChar">
    <w:name w:val="Title Char"/>
    <w:basedOn w:val="DefaultParagraphFont"/>
    <w:link w:val="Title"/>
    <w:uiPriority w:val="10"/>
    <w:rsid w:val="00A4223C"/>
    <w:rPr>
      <w:rFonts w:ascii="Arial" w:hAnsi="Arial" w:cs="Arial"/>
      <w:b/>
      <w:color w:val="00532C" w:themeColor="accent3" w:themeShade="BF"/>
      <w:spacing w:val="-20"/>
      <w:w w:val="115"/>
      <w:sz w:val="32"/>
      <w:szCs w:val="32"/>
    </w:rPr>
  </w:style>
  <w:style w:type="paragraph" w:styleId="Subtitle">
    <w:name w:val="Subtitle"/>
    <w:basedOn w:val="Title"/>
    <w:next w:val="Normal"/>
    <w:link w:val="SubtitleChar"/>
    <w:uiPriority w:val="11"/>
    <w:qFormat/>
    <w:rsid w:val="00CA699C"/>
    <w:pPr>
      <w:outlineLvl w:val="9"/>
    </w:pPr>
    <w:rPr>
      <w:color w:val="808080" w:themeColor="background1" w:themeShade="80"/>
      <w:sz w:val="20"/>
      <w:szCs w:val="20"/>
    </w:rPr>
  </w:style>
  <w:style w:type="character" w:customStyle="1" w:styleId="SubtitleChar">
    <w:name w:val="Subtitle Char"/>
    <w:basedOn w:val="DefaultParagraphFont"/>
    <w:link w:val="Subtitle"/>
    <w:uiPriority w:val="11"/>
    <w:rsid w:val="00CA699C"/>
    <w:rPr>
      <w:rFonts w:ascii="Arial" w:hAnsi="Arial" w:cs="Arial"/>
      <w:b/>
      <w:color w:val="808080" w:themeColor="background1" w:themeShade="80"/>
      <w:spacing w:val="-20"/>
      <w:w w:val="115"/>
      <w:sz w:val="20"/>
      <w:szCs w:val="20"/>
    </w:rPr>
  </w:style>
  <w:style w:type="character" w:customStyle="1" w:styleId="Heading4Char">
    <w:name w:val="Heading 4 Char"/>
    <w:basedOn w:val="DefaultParagraphFont"/>
    <w:link w:val="Heading4"/>
    <w:uiPriority w:val="9"/>
    <w:rsid w:val="008A4642"/>
    <w:rPr>
      <w:rFonts w:asciiTheme="majorHAnsi" w:eastAsiaTheme="majorEastAsia" w:hAnsiTheme="majorHAnsi" w:cstheme="majorBidi"/>
      <w:b/>
      <w:bCs/>
      <w:i/>
      <w:iCs/>
      <w:color w:val="4F81BD" w:themeColor="accent1"/>
      <w:sz w:val="20"/>
      <w:szCs w:val="20"/>
    </w:rPr>
  </w:style>
  <w:style w:type="paragraph" w:customStyle="1" w:styleId="Contactinfo">
    <w:name w:val="Contact info"/>
    <w:basedOn w:val="Normal"/>
    <w:next w:val="Normal"/>
    <w:link w:val="ContactinfoChar"/>
    <w:qFormat/>
    <w:rsid w:val="003B25BC"/>
    <w:pPr>
      <w:spacing w:after="0" w:line="240" w:lineRule="auto"/>
      <w:jc w:val="right"/>
    </w:pPr>
    <w:rPr>
      <w:rFonts w:cs="Arial"/>
      <w:color w:val="595959" w:themeColor="text1" w:themeTint="A6"/>
      <w:spacing w:val="-20"/>
      <w:w w:val="115"/>
      <w:sz w:val="18"/>
    </w:rPr>
  </w:style>
  <w:style w:type="character" w:styleId="Emphasis">
    <w:name w:val="Emphasis"/>
    <w:basedOn w:val="DefaultParagraphFont"/>
    <w:uiPriority w:val="20"/>
    <w:rsid w:val="003B25BC"/>
    <w:rPr>
      <w:i/>
      <w:iCs/>
    </w:rPr>
  </w:style>
  <w:style w:type="character" w:customStyle="1" w:styleId="ContactinfoChar">
    <w:name w:val="Contact info Char"/>
    <w:basedOn w:val="SubtitleChar"/>
    <w:link w:val="Contactinfo"/>
    <w:rsid w:val="003B25BC"/>
    <w:rPr>
      <w:rFonts w:ascii="Arial" w:hAnsi="Arial" w:cs="Arial"/>
      <w:b w:val="0"/>
      <w:color w:val="595959" w:themeColor="text1" w:themeTint="A6"/>
      <w:spacing w:val="-20"/>
      <w:w w:val="115"/>
      <w:sz w:val="18"/>
      <w:szCs w:val="20"/>
    </w:rPr>
  </w:style>
  <w:style w:type="paragraph" w:customStyle="1" w:styleId="Captions">
    <w:name w:val="Captions"/>
    <w:basedOn w:val="Normal"/>
    <w:qFormat/>
    <w:rsid w:val="00B74CBE"/>
    <w:pPr>
      <w:framePr w:hSpace="180" w:wrap="around" w:vAnchor="text" w:hAnchor="margin" w:y="2169"/>
      <w:spacing w:after="0" w:line="240" w:lineRule="auto"/>
      <w:jc w:val="center"/>
    </w:pPr>
    <w:rPr>
      <w:i/>
      <w:sz w:val="16"/>
    </w:rPr>
  </w:style>
  <w:style w:type="table" w:styleId="LightList-Accent3">
    <w:name w:val="Light List Accent 3"/>
    <w:aliases w:val="Digilent1"/>
    <w:basedOn w:val="TableNormal"/>
    <w:uiPriority w:val="61"/>
    <w:rsid w:val="00C06CE6"/>
    <w:pPr>
      <w:spacing w:after="0" w:line="240" w:lineRule="auto"/>
    </w:pPr>
    <w:rPr>
      <w:color w:val="000000" w:themeColor="text1"/>
      <w:sz w:val="20"/>
    </w:rPr>
    <w:tblPr>
      <w:tblStyleRowBandSize w:val="1"/>
      <w:tblStyleColBandSize w:val="1"/>
      <w:tblCellMar>
        <w:top w:w="57" w:type="dxa"/>
        <w:bottom w:w="57" w:type="dxa"/>
      </w:tblCellMar>
    </w:tblPr>
    <w:tcPr>
      <w:vAlign w:val="center"/>
    </w:tcPr>
    <w:tblStylePr w:type="firstRow">
      <w:pPr>
        <w:spacing w:before="0" w:after="0" w:line="240" w:lineRule="auto"/>
        <w:jc w:val="left"/>
      </w:pPr>
      <w:rPr>
        <w:rFonts w:asciiTheme="minorHAnsi" w:hAnsiTheme="minorHAnsi"/>
        <w:b/>
        <w:bCs/>
        <w:color w:val="FFFFFF" w:themeColor="background1"/>
        <w:sz w:val="20"/>
      </w:rPr>
      <w:tblPr/>
      <w:tcPr>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cBorders>
        <w:shd w:val="clear" w:color="auto" w:fill="00542C"/>
      </w:tcPr>
    </w:tblStylePr>
    <w:tblStylePr w:type="lastRow">
      <w:pPr>
        <w:spacing w:before="0" w:after="0" w:line="240" w:lineRule="auto"/>
        <w:jc w:val="left"/>
      </w:pPr>
      <w:rPr>
        <w:b w:val="0"/>
        <w:bCs/>
      </w:rPr>
      <w:tblPr/>
      <w:tcPr>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cBorders>
        <w:shd w:val="clear" w:color="auto" w:fill="BFBFBF" w:themeFill="background1" w:themeFillShade="BF"/>
      </w:tcPr>
    </w:tblStylePr>
    <w:tblStylePr w:type="firstCol">
      <w:pPr>
        <w:jc w:val="left"/>
      </w:pPr>
      <w:rPr>
        <w:b w:val="0"/>
        <w:bCs/>
      </w:rPr>
    </w:tblStylePr>
    <w:tblStylePr w:type="lastCol">
      <w:pPr>
        <w:jc w:val="left"/>
      </w:pPr>
      <w:rPr>
        <w:b w:val="0"/>
        <w:bCs/>
      </w:rPr>
    </w:tblStylePr>
    <w:tblStylePr w:type="band1Vert">
      <w:pPr>
        <w:jc w:val="left"/>
      </w:pPr>
      <w:tblPr/>
      <w:tcPr>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l2br w:val="nil"/>
          <w:tr2bl w:val="nil"/>
        </w:tcBorders>
      </w:tcPr>
    </w:tblStylePr>
    <w:tblStylePr w:type="band2Vert">
      <w:pPr>
        <w:jc w:val="left"/>
      </w:pPr>
      <w:tblPr/>
      <w:tcPr>
        <w:tcBorders>
          <w:top w:val="nil"/>
          <w:left w:val="nil"/>
          <w:bottom w:val="nil"/>
          <w:right w:val="nil"/>
          <w:insideH w:val="nil"/>
          <w:insideV w:val="nil"/>
          <w:tl2br w:val="nil"/>
          <w:tr2bl w:val="nil"/>
        </w:tcBorders>
      </w:tcPr>
    </w:tblStylePr>
    <w:tblStylePr w:type="band1Horz">
      <w:pPr>
        <w:jc w:val="left"/>
      </w:pPr>
      <w:tblPr/>
      <w:tcPr>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cBorders>
        <w:shd w:val="clear" w:color="auto" w:fill="D9D9D9" w:themeFill="background1" w:themeFillShade="D9"/>
      </w:tcPr>
    </w:tblStylePr>
    <w:tblStylePr w:type="band2Horz">
      <w:pPr>
        <w:jc w:val="left"/>
      </w:pPr>
      <w:tblPr/>
      <w:tcPr>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cBorders>
        <w:shd w:val="clear" w:color="auto" w:fill="BFBFBF" w:themeFill="background1" w:themeFillShade="BF"/>
      </w:tcPr>
    </w:tblStylePr>
    <w:tblStylePr w:type="neCell">
      <w:pPr>
        <w:jc w:val="left"/>
      </w:pPr>
    </w:tblStylePr>
    <w:tblStylePr w:type="nwCell">
      <w:pPr>
        <w:jc w:val="left"/>
      </w:pPr>
    </w:tblStylePr>
    <w:tblStylePr w:type="seCell">
      <w:pPr>
        <w:jc w:val="left"/>
      </w:pPr>
    </w:tblStylePr>
    <w:tblStylePr w:type="swCell">
      <w:pPr>
        <w:jc w:val="left"/>
      </w:pPr>
    </w:tblStylePr>
  </w:style>
  <w:style w:type="character" w:styleId="CommentReference">
    <w:name w:val="annotation reference"/>
    <w:basedOn w:val="DefaultParagraphFont"/>
    <w:unhideWhenUsed/>
    <w:rsid w:val="00D61152"/>
    <w:rPr>
      <w:sz w:val="16"/>
      <w:szCs w:val="16"/>
    </w:rPr>
  </w:style>
  <w:style w:type="paragraph" w:styleId="CommentText">
    <w:name w:val="annotation text"/>
    <w:basedOn w:val="Normal"/>
    <w:link w:val="CommentTextChar"/>
    <w:uiPriority w:val="99"/>
    <w:unhideWhenUsed/>
    <w:rsid w:val="00D61152"/>
    <w:pPr>
      <w:spacing w:line="240" w:lineRule="auto"/>
    </w:pPr>
  </w:style>
  <w:style w:type="character" w:customStyle="1" w:styleId="CommentTextChar">
    <w:name w:val="Comment Text Char"/>
    <w:basedOn w:val="DefaultParagraphFont"/>
    <w:link w:val="CommentText"/>
    <w:uiPriority w:val="99"/>
    <w:rsid w:val="00D61152"/>
    <w:rPr>
      <w:sz w:val="20"/>
      <w:szCs w:val="20"/>
    </w:rPr>
  </w:style>
  <w:style w:type="paragraph" w:styleId="CommentSubject">
    <w:name w:val="annotation subject"/>
    <w:basedOn w:val="CommentText"/>
    <w:next w:val="CommentText"/>
    <w:link w:val="CommentSubjectChar"/>
    <w:uiPriority w:val="99"/>
    <w:semiHidden/>
    <w:unhideWhenUsed/>
    <w:rsid w:val="00D61152"/>
    <w:rPr>
      <w:b/>
      <w:bCs/>
    </w:rPr>
  </w:style>
  <w:style w:type="character" w:customStyle="1" w:styleId="CommentSubjectChar">
    <w:name w:val="Comment Subject Char"/>
    <w:basedOn w:val="CommentTextChar"/>
    <w:link w:val="CommentSubject"/>
    <w:uiPriority w:val="99"/>
    <w:semiHidden/>
    <w:rsid w:val="00D61152"/>
    <w:rPr>
      <w:b/>
      <w:bCs/>
      <w:sz w:val="20"/>
      <w:szCs w:val="20"/>
    </w:rPr>
  </w:style>
  <w:style w:type="paragraph" w:customStyle="1" w:styleId="Normal1">
    <w:name w:val="Normal1"/>
    <w:link w:val="NormalChar"/>
    <w:qFormat/>
    <w:rsid w:val="00BC17D5"/>
    <w:pPr>
      <w:spacing w:after="240" w:afterAutospacing="1" w:line="264" w:lineRule="auto"/>
      <w:ind w:left="230"/>
    </w:pPr>
    <w:rPr>
      <w:rFonts w:ascii="Times New Roman" w:eastAsia="Times New Roman" w:hAnsi="Times New Roman" w:cs="Times New Roman"/>
      <w:sz w:val="20"/>
      <w:szCs w:val="20"/>
    </w:rPr>
  </w:style>
  <w:style w:type="character" w:customStyle="1" w:styleId="NormalChar">
    <w:name w:val="Normal Char"/>
    <w:basedOn w:val="DefaultParagraphFont"/>
    <w:link w:val="Normal1"/>
    <w:rsid w:val="00BC17D5"/>
    <w:rPr>
      <w:rFonts w:ascii="Times New Roman" w:eastAsia="Times New Roman" w:hAnsi="Times New Roman" w:cs="Times New Roman"/>
      <w:sz w:val="20"/>
      <w:szCs w:val="20"/>
    </w:rPr>
  </w:style>
  <w:style w:type="paragraph" w:customStyle="1" w:styleId="note">
    <w:name w:val="note"/>
    <w:basedOn w:val="Normal"/>
    <w:rsid w:val="00195A36"/>
    <w:pPr>
      <w:spacing w:after="150" w:afterAutospacing="1" w:line="240" w:lineRule="auto"/>
    </w:pPr>
    <w:rPr>
      <w:rFonts w:ascii="Times New Roman" w:eastAsia="Times New Roman" w:hAnsi="Times New Roman" w:cs="Times New Roman"/>
      <w:sz w:val="24"/>
      <w:szCs w:val="24"/>
    </w:rPr>
  </w:style>
  <w:style w:type="table" w:customStyle="1" w:styleId="GridTable1Light-Accent11">
    <w:name w:val="Grid Table 1 Light - Accent 11"/>
    <w:basedOn w:val="TableNormal"/>
    <w:uiPriority w:val="46"/>
    <w:rsid w:val="00250C7C"/>
    <w:pPr>
      <w:spacing w:after="0" w:afterAutospacing="1" w:line="240" w:lineRule="auto"/>
      <w:ind w:left="230"/>
    </w:pPr>
    <w:rPr>
      <w:rFonts w:ascii="Times New Roman" w:eastAsia="Times New Roman" w:hAnsi="Times New Roman" w:cs="Times New Roman"/>
      <w:sz w:val="20"/>
      <w:szCs w:val="20"/>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A338B4"/>
    <w:pPr>
      <w:spacing w:before="120" w:after="240" w:line="240" w:lineRule="auto"/>
      <w:jc w:val="center"/>
    </w:pPr>
    <w:rPr>
      <w:i/>
      <w:iCs/>
      <w:sz w:val="18"/>
      <w:szCs w:val="18"/>
    </w:rPr>
  </w:style>
  <w:style w:type="paragraph" w:styleId="FootnoteText">
    <w:name w:val="footnote text"/>
    <w:basedOn w:val="Normal"/>
    <w:link w:val="FootnoteTextChar"/>
    <w:uiPriority w:val="99"/>
    <w:semiHidden/>
    <w:unhideWhenUsed/>
    <w:rsid w:val="00014B51"/>
    <w:pPr>
      <w:spacing w:after="0" w:line="240" w:lineRule="auto"/>
    </w:pPr>
    <w:rPr>
      <w:sz w:val="20"/>
    </w:rPr>
  </w:style>
  <w:style w:type="character" w:customStyle="1" w:styleId="FootnoteTextChar">
    <w:name w:val="Footnote Text Char"/>
    <w:basedOn w:val="DefaultParagraphFont"/>
    <w:link w:val="FootnoteText"/>
    <w:uiPriority w:val="99"/>
    <w:semiHidden/>
    <w:rsid w:val="00014B51"/>
    <w:rPr>
      <w:sz w:val="20"/>
      <w:szCs w:val="20"/>
    </w:rPr>
  </w:style>
  <w:style w:type="character" w:styleId="FootnoteReference">
    <w:name w:val="footnote reference"/>
    <w:basedOn w:val="DefaultParagraphFont"/>
    <w:uiPriority w:val="99"/>
    <w:semiHidden/>
    <w:unhideWhenUsed/>
    <w:rsid w:val="00014B51"/>
    <w:rPr>
      <w:vertAlign w:val="superscript"/>
    </w:rPr>
  </w:style>
  <w:style w:type="character" w:styleId="FollowedHyperlink">
    <w:name w:val="FollowedHyperlink"/>
    <w:basedOn w:val="DefaultParagraphFont"/>
    <w:uiPriority w:val="99"/>
    <w:semiHidden/>
    <w:unhideWhenUsed/>
    <w:rsid w:val="00F24400"/>
    <w:rPr>
      <w:color w:val="800080" w:themeColor="followedHyperlink"/>
      <w:u w:val="single"/>
    </w:rPr>
  </w:style>
  <w:style w:type="paragraph" w:styleId="EndnoteText">
    <w:name w:val="endnote text"/>
    <w:basedOn w:val="Normal"/>
    <w:link w:val="EndnoteTextChar"/>
    <w:uiPriority w:val="99"/>
    <w:semiHidden/>
    <w:unhideWhenUsed/>
    <w:rsid w:val="001A5C61"/>
    <w:pPr>
      <w:spacing w:after="0" w:line="240" w:lineRule="auto"/>
    </w:pPr>
    <w:rPr>
      <w:sz w:val="20"/>
    </w:rPr>
  </w:style>
  <w:style w:type="character" w:customStyle="1" w:styleId="EndnoteTextChar">
    <w:name w:val="Endnote Text Char"/>
    <w:basedOn w:val="DefaultParagraphFont"/>
    <w:link w:val="EndnoteText"/>
    <w:uiPriority w:val="99"/>
    <w:semiHidden/>
    <w:rsid w:val="001A5C61"/>
    <w:rPr>
      <w:sz w:val="20"/>
      <w:szCs w:val="20"/>
    </w:rPr>
  </w:style>
  <w:style w:type="character" w:styleId="EndnoteReference">
    <w:name w:val="endnote reference"/>
    <w:basedOn w:val="DefaultParagraphFont"/>
    <w:uiPriority w:val="99"/>
    <w:semiHidden/>
    <w:unhideWhenUsed/>
    <w:rsid w:val="001A5C61"/>
    <w:rPr>
      <w:vertAlign w:val="superscript"/>
    </w:rPr>
  </w:style>
  <w:style w:type="paragraph" w:styleId="Revision">
    <w:name w:val="Revision"/>
    <w:hidden/>
    <w:uiPriority w:val="99"/>
    <w:semiHidden/>
    <w:rsid w:val="00C825CA"/>
    <w:pPr>
      <w:spacing w:after="0" w:line="240" w:lineRule="auto"/>
    </w:pPr>
    <w:rPr>
      <w:szCs w:val="20"/>
    </w:rPr>
  </w:style>
  <w:style w:type="table" w:customStyle="1" w:styleId="Digilent3">
    <w:name w:val="Digilent3"/>
    <w:basedOn w:val="TableNormal"/>
    <w:uiPriority w:val="99"/>
    <w:rsid w:val="006E1EF7"/>
    <w:pPr>
      <w:spacing w:after="0" w:line="240" w:lineRule="auto"/>
    </w:pPr>
    <w:rPr>
      <w:sz w:val="20"/>
    </w:rPr>
    <w:tblPr>
      <w:tblStyleRowBandSize w:val="1"/>
      <w:tblCellSpacing w:w="20" w:type="dxa"/>
      <w:tblCellMar>
        <w:top w:w="57" w:type="dxa"/>
        <w:bottom w:w="57" w:type="dxa"/>
      </w:tblCellMar>
    </w:tblPr>
    <w:trPr>
      <w:tblCellSpacing w:w="20" w:type="dxa"/>
    </w:trPr>
    <w:tblStylePr w:type="firstRow">
      <w:rPr>
        <w:b/>
      </w:rPr>
      <w:tblPr/>
      <w:tcPr>
        <w:shd w:val="clear" w:color="auto" w:fill="00542C"/>
      </w:tcPr>
    </w:tblStylePr>
    <w:tblStylePr w:type="band1Horz">
      <w:tblPr/>
      <w:tcPr>
        <w:shd w:val="clear" w:color="auto" w:fill="D9D9D9" w:themeFill="background1" w:themeFillShade="D9"/>
      </w:tcPr>
    </w:tblStylePr>
    <w:tblStylePr w:type="band2Horz">
      <w:tblPr/>
      <w:tcPr>
        <w:shd w:val="clear" w:color="auto" w:fill="BFBFBF" w:themeFill="background1" w:themeFillShade="B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0981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1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20"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Microsoft_Visio_2003-2010_Drawing1.vsd"/><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emf"/><Relationship Id="rId19"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oleObject" Target="embeddings/Microsoft_Visio_2003-2010_Drawing.vsd"/><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header2.xml.rels><?xml version="1.0" encoding="UTF-8" standalone="yes"?>
<Relationships xmlns="http://schemas.openxmlformats.org/package/2006/relationships"><Relationship Id="rId1" Type="http://schemas.openxmlformats.org/officeDocument/2006/relationships/image" Target="media/image3.emf"/></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1F497D"/>
      </a:dk2>
      <a:lt2>
        <a:srgbClr val="EEECE1"/>
      </a:lt2>
      <a:accent1>
        <a:srgbClr val="4F81BD"/>
      </a:accent1>
      <a:accent2>
        <a:srgbClr val="C0504D"/>
      </a:accent2>
      <a:accent3>
        <a:srgbClr val="00703C"/>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b:Source>
    <b:Tag>Xil</b:Tag>
    <b:SourceType>DocumentFromInternetSite</b:SourceType>
    <b:Guid>{69EA2205-0071-4627-A8F5-C7E9FE216D75}</b:Guid>
    <b:Title>UG470</b:Title>
    <b:URL>http://www.xilinx.com/support/documentation/user_guides/ug470_7Series_Config.pdf</b:URL>
    <b:Author>
      <b:Author>
        <b:NameList>
          <b:Person>
            <b:Last>Xilinx</b:Last>
          </b:Person>
        </b:NameList>
      </b:Author>
    </b:Author>
    <b:RefOrder>1</b:RefOrder>
  </b:Source>
</b:Sources>
</file>

<file path=customXml/item2.xml><?xml version="1.0" encoding="utf-8"?>
<ct:contentTypeSchema xmlns:ct="http://schemas.microsoft.com/office/2006/metadata/contentType" xmlns:ma="http://schemas.microsoft.com/office/2006/metadata/properties/metaAttributes" ct:_="" ma:_="" ma:contentTypeName="Document" ma:contentTypeID="0x010100389B3B80433A4848951C519F1EC5B973" ma:contentTypeVersion="10" ma:contentTypeDescription="Crée un document." ma:contentTypeScope="" ma:versionID="4b0119f0b7ee357c97423ce225748831">
  <xsd:schema xmlns:xsd="http://www.w3.org/2001/XMLSchema" xmlns:xs="http://www.w3.org/2001/XMLSchema" xmlns:p="http://schemas.microsoft.com/office/2006/metadata/properties" xmlns:ns2="5d44a687-0c14-44e9-ad9b-5f82998d6b20" xmlns:ns3="6e07141b-90f4-4181-8ad6-6f02a0acb93c" targetNamespace="http://schemas.microsoft.com/office/2006/metadata/properties" ma:root="true" ma:fieldsID="e6431dcfb86a0a8258394ecb222c000c" ns2:_="" ns3:_="">
    <xsd:import namespace="5d44a687-0c14-44e9-ad9b-5f82998d6b20"/>
    <xsd:import namespace="6e07141b-90f4-4181-8ad6-6f02a0acb93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44a687-0c14-44e9-ad9b-5f82998d6b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Balises d’images" ma:readOnly="false" ma:fieldId="{5cf76f15-5ced-4ddc-b409-7134ff3c332f}" ma:taxonomyMulti="true" ma:sspId="d264a842-8adc-43f3-ad4e-91e5e271ce18"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e07141b-90f4-4181-8ad6-6f02a0acb93c"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5a90c138-677d-4a21-b80e-61d3440a651c}" ma:internalName="TaxCatchAll" ma:showField="CatchAllData" ma:web="6e07141b-90f4-4181-8ad6-6f02a0acb93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6e07141b-90f4-4181-8ad6-6f02a0acb93c" xsi:nil="true"/>
    <lcf76f155ced4ddcb4097134ff3c332f xmlns="5d44a687-0c14-44e9-ad9b-5f82998d6b2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D4A848B-937E-43C0-9C85-D0E3EA1FB129}">
  <ds:schemaRefs>
    <ds:schemaRef ds:uri="http://schemas.openxmlformats.org/officeDocument/2006/bibliography"/>
  </ds:schemaRefs>
</ds:datastoreItem>
</file>

<file path=customXml/itemProps2.xml><?xml version="1.0" encoding="utf-8"?>
<ds:datastoreItem xmlns:ds="http://schemas.openxmlformats.org/officeDocument/2006/customXml" ds:itemID="{48F15BB6-E10B-48CE-8F1F-380FA2F33CC9}"/>
</file>

<file path=customXml/itemProps3.xml><?xml version="1.0" encoding="utf-8"?>
<ds:datastoreItem xmlns:ds="http://schemas.openxmlformats.org/officeDocument/2006/customXml" ds:itemID="{139807AC-15C5-46B7-AFB4-51182A487C65}"/>
</file>

<file path=customXml/itemProps4.xml><?xml version="1.0" encoding="utf-8"?>
<ds:datastoreItem xmlns:ds="http://schemas.openxmlformats.org/officeDocument/2006/customXml" ds:itemID="{3164552A-3F69-4799-A7B6-3A0AD9C8A0A1}"/>
</file>

<file path=docProps/app.xml><?xml version="1.0" encoding="utf-8"?>
<Properties xmlns="http://schemas.openxmlformats.org/officeDocument/2006/extended-properties" xmlns:vt="http://schemas.openxmlformats.org/officeDocument/2006/docPropsVTypes">
  <Template>Normal.dotm</Template>
  <TotalTime>164</TotalTime>
  <Pages>1</Pages>
  <Words>1164</Words>
  <Characters>6636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National Instruments</Company>
  <LinksUpToDate>false</LinksUpToDate>
  <CharactersWithSpaces>7785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Norman MacDonald</dc:creator>
  <cp:lastModifiedBy>Elod Gyorgy</cp:lastModifiedBy>
  <cp:revision>30</cp:revision>
  <cp:lastPrinted>2017-09-06T12:34:00Z</cp:lastPrinted>
  <dcterms:created xsi:type="dcterms:W3CDTF">2015-04-22T16:31:00Z</dcterms:created>
  <dcterms:modified xsi:type="dcterms:W3CDTF">2017-09-06T12:34:00Z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0x010100389B3B80433A4848951C519F1EC5B973</vt:lpwstr>
  </property>
</Properties>
</file>