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Application of the Lasso regularisation technique in mitigating overfitting in air quality prediction models.</w:t>
      </w:r>
    </w:p>
    <w:p w:rsidR="00000000" w:rsidDel="00000000" w:rsidP="00000000" w:rsidRDefault="00000000" w:rsidRPr="00000000" w14:paraId="0000000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Pak, A., Rad, A.K., Nematollahi, M.J. </w:t>
      </w:r>
      <w:r w:rsidDel="00000000" w:rsidR="00000000" w:rsidRPr="00000000">
        <w:rPr>
          <w:rFonts w:ascii="Arial" w:cs="Arial" w:eastAsia="Arial" w:hAnsi="Arial"/>
          <w:i w:val="1"/>
          <w:iCs w:val="1"/>
          <w:sz w:val="20"/>
          <w:szCs w:val="20"/>
          <w:rtl w:val="0"/>
        </w:rPr>
        <w:t xml:space="preserve">et al.</w:t>
      </w:r>
      <w:r w:rsidDel="00000000" w:rsidR="00000000" w:rsidRPr="00000000">
        <w:rPr>
          <w:rFonts w:ascii="Arial" w:cs="Arial" w:eastAsia="Arial" w:hAnsi="Arial"/>
          <w:sz w:val="20"/>
          <w:szCs w:val="20"/>
          <w:rtl w:val="0"/>
        </w:rPr>
        <w:t xml:space="preserve"> Application of the Lasso regularisation technique in mitigating overfitting in air quality prediction models. </w:t>
      </w:r>
      <w:r w:rsidDel="00000000" w:rsidR="00000000" w:rsidRPr="00000000">
        <w:rPr>
          <w:rFonts w:ascii="Arial" w:cs="Arial" w:eastAsia="Arial" w:hAnsi="Arial"/>
          <w:i w:val="1"/>
          <w:iCs w:val="1"/>
          <w:sz w:val="20"/>
          <w:szCs w:val="20"/>
          <w:rtl w:val="0"/>
        </w:rPr>
        <w:t xml:space="preserve">Sci Rep</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15</w:t>
      </w:r>
      <w:r w:rsidDel="00000000" w:rsidR="00000000" w:rsidRPr="00000000">
        <w:rPr>
          <w:rFonts w:ascii="Arial" w:cs="Arial" w:eastAsia="Arial" w:hAnsi="Arial"/>
          <w:sz w:val="20"/>
          <w:szCs w:val="20"/>
          <w:rtl w:val="0"/>
        </w:rPr>
        <w:t xml:space="preserve">, 547 (2025). https://doi.org/10.1038/s41598-024-84342-y</w:t>
      </w:r>
    </w:p>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Pak et al. (2025) investigated the application of the Least Absolute Shrinkage and Selection Operator (Lasso) regularization technique to mitigate the pervasive issue of machine learning overfitting in ambient air quality forecasting (p. 1). Utilizing an extensive 10-year dataset (2013–2023) compiled from 16 monitoring sensors in Tehran, Iran, the study modeled concentrations of both particulate matter (PM</w:t>
      </w:r>
      <w:r w:rsidDel="00000000" w:rsidR="00000000" w:rsidRPr="00000000">
        <w:rPr>
          <w:rFonts w:ascii="Arial" w:cs="Arial" w:eastAsia="Arial" w:hAnsi="Arial"/>
          <w:sz w:val="20"/>
          <w:szCs w:val="20"/>
          <w:vertAlign w:val="subscript"/>
          <w:rtl w:val="0"/>
        </w:rPr>
        <w:t xml:space="preserve">2.5</w:t>
      </w:r>
      <w:r w:rsidDel="00000000" w:rsidR="00000000" w:rsidRPr="00000000">
        <w:rPr>
          <w:rFonts w:ascii="Arial" w:cs="Arial" w:eastAsia="Arial" w:hAnsi="Arial"/>
          <w:sz w:val="20"/>
          <w:szCs w:val="20"/>
          <w:rtl w:val="0"/>
        </w:rPr>
        <w:t xml:space="preserve">, PM</w:t>
      </w:r>
      <w:r w:rsidDel="00000000" w:rsidR="00000000" w:rsidRPr="00000000">
        <w:rPr>
          <w:rFonts w:ascii="Arial" w:cs="Arial" w:eastAsia="Arial" w:hAnsi="Arial"/>
          <w:sz w:val="20"/>
          <w:szCs w:val="20"/>
          <w:vertAlign w:val="subscript"/>
          <w:rtl w:val="0"/>
        </w:rPr>
        <w:t xml:space="preserve">10</w:t>
      </w:r>
      <w:r w:rsidDel="00000000" w:rsidR="00000000" w:rsidRPr="00000000">
        <w:rPr>
          <w:rFonts w:ascii="Arial" w:cs="Arial" w:eastAsia="Arial" w:hAnsi="Arial"/>
          <w:sz w:val="20"/>
          <w:szCs w:val="20"/>
          <w:rtl w:val="0"/>
        </w:rPr>
        <w:t xml:space="preserve">) and dynamic gaseous pollutants CO, NO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SO</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 and O</w:t>
      </w:r>
      <w:r w:rsidDel="00000000" w:rsidR="00000000" w:rsidRPr="00000000">
        <w:rPr>
          <w:rFonts w:ascii="Arial" w:cs="Arial" w:eastAsia="Arial" w:hAnsi="Arial"/>
          <w:sz w:val="20"/>
          <w:szCs w:val="20"/>
          <w:vertAlign w:val="subscript"/>
          <w:rtl w:val="0"/>
        </w:rPr>
        <w:t xml:space="preserve">3</w:t>
      </w:r>
      <w:r w:rsidDel="00000000" w:rsidR="00000000" w:rsidRPr="00000000">
        <w:rPr>
          <w:rFonts w:ascii="Arial" w:cs="Arial" w:eastAsia="Arial" w:hAnsi="Arial"/>
          <w:sz w:val="20"/>
          <w:szCs w:val="20"/>
          <w:rtl w:val="0"/>
        </w:rPr>
        <w:t xml:space="preserve">  alongside key meteorological indicators (pp. 1-2).</w:t>
      </w:r>
    </w:p>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Methodology and Implementation</w:t>
      </w:r>
      <w:r w:rsidDel="00000000" w:rsidR="00000000" w:rsidRPr="00000000">
        <w:rPr>
          <w:rFonts w:ascii="Arial" w:cs="Arial" w:eastAsia="Arial" w:hAnsi="Arial"/>
          <w:sz w:val="20"/>
          <w:szCs w:val="20"/>
          <w:rtl w:val="0"/>
        </w:rPr>
        <w:br w:type="textWrapping"/>
        <w:t xml:space="preserve">Lasso was selected for its dual capacity to execute simultaneous continuous prediction and automated variable selection (p. 6). The methodology penalized the objective loss function—specifically the sum of squared errors (SSE)—by incorporating an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1</m:t>
            </m:r>
          </m:sub>
        </m:sSub>
      </m:oMath>
      <w:r w:rsidDel="00000000" w:rsidR="00000000" w:rsidRPr="00000000">
        <w:rPr>
          <w:rFonts w:ascii="Arial" w:cs="Arial" w:eastAsia="Arial" w:hAnsi="Arial"/>
          <w:sz w:val="20"/>
          <w:szCs w:val="20"/>
          <w:rtl w:val="0"/>
        </w:rPr>
        <w:t xml:space="preserve"> -norm penalty proportional to the absolute values of the regression coefficients </w:t>
      </w:r>
      <w:r w:rsidDel="00000000" w:rsidR="00000000" w:rsidRPr="00000000">
        <w:rPr>
          <w:rFonts w:ascii="Arial" w:cs="Arial" w:eastAsia="Arial" w:hAnsi="Arial"/>
          <w:i w:val="1"/>
          <w:iCs w:val="1"/>
          <w:sz w:val="20"/>
          <w:szCs w:val="20"/>
          <w:rtl w:val="0"/>
        </w:rPr>
        <w:t xml:space="preserve">λ</w:t>
      </w:r>
      <w:r w:rsidDel="00000000" w:rsidR="00000000" w:rsidRPr="00000000">
        <w:rPr>
          <w:rFonts w:ascii="Arial" w:cs="Arial" w:eastAsia="Arial" w:hAnsi="Arial"/>
          <w:sz w:val="20"/>
          <w:szCs w:val="20"/>
          <w:rtl w:val="0"/>
        </w:rPr>
        <w:t xml:space="preserve"> Σ|</w:t>
      </w:r>
      <w:r w:rsidDel="00000000" w:rsidR="00000000" w:rsidRPr="00000000">
        <w:rPr>
          <w:rFonts w:ascii="Arial" w:cs="Arial" w:eastAsia="Arial" w:hAnsi="Arial"/>
          <w:i w:val="1"/>
          <w:iCs w:val="1"/>
          <w:sz w:val="20"/>
          <w:szCs w:val="20"/>
          <w:rtl w:val="0"/>
        </w:rPr>
        <w:t xml:space="preserve">β</w:t>
      </w:r>
      <w:r w:rsidDel="00000000" w:rsidR="00000000" w:rsidRPr="00000000">
        <w:rPr>
          <w:rFonts w:ascii="Arial" w:cs="Arial" w:eastAsia="Arial" w:hAnsi="Arial"/>
          <w:b w:val="1"/>
          <w:bCs w:val="1"/>
          <w:i w:val="1"/>
          <w:iCs w:val="1"/>
          <w:sz w:val="20"/>
          <w:szCs w:val="20"/>
          <w:vertAlign w:val="subscript"/>
          <w:rtl w:val="0"/>
        </w:rPr>
        <w:t xml:space="preserve">j</w:t>
      </w:r>
      <w:r w:rsidDel="00000000" w:rsidR="00000000" w:rsidRPr="00000000">
        <w:rPr>
          <w:rFonts w:ascii="Arial" w:cs="Arial" w:eastAsia="Arial" w:hAnsi="Arial"/>
          <w:sz w:val="20"/>
          <w:szCs w:val="20"/>
          <w:rtl w:val="0"/>
        </w:rPr>
        <w:t xml:space="preserve"> | (p. 4). To guarantee equal penalty distribution across varying scales, features were mean-centered and variance-standardized during data preprocessing (p. 4). The optimal regularized tuning parameter (</w:t>
      </w:r>
      <w:r w:rsidDel="00000000" w:rsidR="00000000" w:rsidRPr="00000000">
        <w:rPr>
          <w:rFonts w:ascii="Arial" w:cs="Arial" w:eastAsia="Arial" w:hAnsi="Arial"/>
          <w:i w:val="1"/>
          <w:iCs w:val="1"/>
          <w:sz w:val="20"/>
          <w:szCs w:val="20"/>
          <w:rtl w:val="0"/>
        </w:rPr>
        <w:t xml:space="preserve">λ</w:t>
      </w:r>
      <w:sdt>
        <w:sdtPr>
          <w:id w:val="-1469102434"/>
          <w:tag w:val="goog_rdk_0"/>
        </w:sdtPr>
        <w:sdtContent>
          <w:r w:rsidDel="00000000" w:rsidR="00000000" w:rsidRPr="00000000">
            <w:rPr>
              <w:rFonts w:ascii="Arial Unicode MS" w:cs="Arial Unicode MS" w:eastAsia="Arial Unicode MS" w:hAnsi="Arial Unicode MS"/>
              <w:sz w:val="20"/>
              <w:szCs w:val="20"/>
              <w:vertAlign w:val="subscript"/>
              <w:rtl w:val="0"/>
            </w:rPr>
            <w:t xml:space="preserve">≈</w:t>
          </w:r>
        </w:sdtContent>
      </w:sdt>
      <w:r w:rsidDel="00000000" w:rsidR="00000000" w:rsidRPr="00000000">
        <w:rPr>
          <w:rFonts w:ascii="Arial" w:cs="Arial" w:eastAsia="Arial" w:hAnsi="Arial"/>
          <w:sz w:val="20"/>
          <w:szCs w:val="20"/>
          <w:rtl w:val="0"/>
        </w:rPr>
        <w:t xml:space="preserve"> 0.1) was established via 10-fold cross-validation under the "1 standard error rule" (</w:t>
      </w:r>
      <w:r w:rsidDel="00000000" w:rsidR="00000000" w:rsidRPr="00000000">
        <w:rPr>
          <w:rFonts w:ascii="Arial" w:cs="Arial" w:eastAsia="Arial" w:hAnsi="Arial"/>
          <w:i w:val="1"/>
          <w:iCs w:val="1"/>
          <w:sz w:val="20"/>
          <w:szCs w:val="20"/>
          <w:rtl w:val="0"/>
        </w:rPr>
        <w:t xml:space="preserve">λ</w:t>
      </w:r>
      <w:r w:rsidDel="00000000" w:rsidR="00000000" w:rsidRPr="00000000">
        <w:rPr>
          <w:rFonts w:ascii="Arial" w:cs="Arial" w:eastAsia="Arial" w:hAnsi="Arial"/>
          <w:sz w:val="20"/>
          <w:szCs w:val="20"/>
          <w:rtl w:val="0"/>
        </w:rPr>
        <w:t xml:space="preserve"> -1se) to systematically drive redundant or highly multicollinear predictor coefficients to exactly zero (pp. 2, 5, 7-8).</w:t>
      </w:r>
    </w:p>
    <w:p w:rsidR="00000000" w:rsidDel="00000000" w:rsidP="00000000" w:rsidRDefault="00000000" w:rsidRPr="00000000" w14:paraId="00000006">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Findings and Performance Disparities</w:t>
      </w:r>
      <w:r w:rsidDel="00000000" w:rsidR="00000000" w:rsidRPr="00000000">
        <w:rPr>
          <w:rFonts w:ascii="Arial" w:cs="Arial" w:eastAsia="Arial" w:hAnsi="Arial"/>
          <w:sz w:val="20"/>
          <w:szCs w:val="20"/>
          <w:rtl w:val="0"/>
        </w:rPr>
        <w:br w:type="textWrapping"/>
        <w:t xml:space="preserve">The integration of Lasso significantly enhanced model generalizability, as evidenced by a tightly minimized error gap between the training and test sets (p. 11). However, a stark divergence in predictive efficiency emerged between pollutant types:</w:t>
      </w:r>
    </w:p>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Particulate Matter</w:t>
      </w:r>
      <w:r w:rsidDel="00000000" w:rsidR="00000000" w:rsidRPr="00000000">
        <w:rPr>
          <w:rFonts w:ascii="Arial" w:cs="Arial" w:eastAsia="Arial" w:hAnsi="Arial"/>
          <w:sz w:val="20"/>
          <w:szCs w:val="20"/>
          <w:rtl w:val="0"/>
        </w:rPr>
        <w:t xml:space="preserve">: The regularized models captured the fundamental variance exceptionally well, achieving robust coefficients of determination </w:t>
      </w:r>
      <m:oMath>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P</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M</m:t>
                </m:r>
              </m:e>
              <m:sub>
                <m:r>
                  <w:rPr>
                    <w:rFonts w:ascii="Cambria Math" w:cs="Cambria Math" w:eastAsia="Cambria Math" w:hAnsi="Cambria Math"/>
                    <w:sz w:val="20"/>
                    <w:szCs w:val="20"/>
                  </w:rPr>
                  <m:t xml:space="preserve">2.5</m:t>
                </m:r>
              </m:sub>
            </m:sSub>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 0.80</m:t>
        </m:r>
      </m:oMath>
      <w:r w:rsidDel="00000000" w:rsidR="00000000" w:rsidRPr="00000000">
        <w:rPr>
          <w:rFonts w:ascii="Arial" w:cs="Arial" w:eastAsia="Arial" w:hAnsi="Arial"/>
          <w:sz w:val="20"/>
          <w:szCs w:val="20"/>
          <w:rtl w:val="0"/>
        </w:rPr>
        <w:t xml:space="preserve"> and </w:t>
      </w:r>
      <m:oMath>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P</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M</m:t>
                </m:r>
              </m:e>
              <m:sub>
                <m:r>
                  <w:rPr>
                    <w:rFonts w:ascii="Cambria Math" w:cs="Cambria Math" w:eastAsia="Cambria Math" w:hAnsi="Cambria Math"/>
                    <w:sz w:val="20"/>
                    <w:szCs w:val="20"/>
                  </w:rPr>
                  <m:t xml:space="preserve">10</m:t>
                </m:r>
              </m:sub>
            </m:sSub>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 0.75</m:t>
        </m:r>
      </m:oMath>
      <w:r w:rsidDel="00000000" w:rsidR="00000000" w:rsidRPr="00000000">
        <w:rPr>
          <w:rFonts w:ascii="Arial" w:cs="Arial" w:eastAsia="Arial" w:hAnsi="Arial"/>
          <w:sz w:val="20"/>
          <w:szCs w:val="20"/>
          <w:rtl w:val="0"/>
        </w:rPr>
        <w:t xml:space="preserve"> due to consistent, low-noise data profiles (pp. 1, 11).</w:t>
      </w:r>
    </w:p>
    <w:p w:rsidR="00000000" w:rsidDel="00000000" w:rsidP="00000000" w:rsidRDefault="00000000" w:rsidRPr="00000000" w14:paraId="0000000A">
      <w:pPr>
        <w:numPr>
          <w:ilvl w:val="0"/>
          <w:numId w:val="1"/>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Gaseous Pollutants</w:t>
      </w:r>
      <w:r w:rsidDel="00000000" w:rsidR="00000000" w:rsidRPr="00000000">
        <w:rPr>
          <w:rFonts w:ascii="Arial" w:cs="Arial" w:eastAsia="Arial" w:hAnsi="Arial"/>
          <w:sz w:val="20"/>
          <w:szCs w:val="20"/>
          <w:rtl w:val="0"/>
        </w:rPr>
        <w:t xml:space="preserve">: Predictability remained unsatisfactory </w:t>
      </w:r>
      <m:oMath>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S</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O</m:t>
                </m:r>
              </m:e>
              <m:sub>
                <m:r>
                  <w:rPr>
                    <w:rFonts w:ascii="Cambria Math" w:cs="Cambria Math" w:eastAsia="Cambria Math" w:hAnsi="Cambria Math"/>
                    <w:sz w:val="20"/>
                    <w:szCs w:val="20"/>
                  </w:rPr>
                  <m:t xml:space="preserve">2</m:t>
                </m:r>
              </m:sub>
            </m:sSub>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 0.65</m:t>
        </m:r>
      </m:oMath>
      <w:r w:rsidDel="00000000" w:rsidR="00000000" w:rsidRPr="00000000">
        <w:rPr>
          <w:rFonts w:ascii="Arial" w:cs="Arial" w:eastAsia="Arial" w:hAnsi="Arial"/>
          <w:sz w:val="20"/>
          <w:szCs w:val="20"/>
          <w:rtl w:val="0"/>
        </w:rPr>
        <w:t xml:space="preserve">, </w:t>
      </w:r>
      <m:oMath>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N</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O</m:t>
                </m:r>
              </m:e>
              <m:sub>
                <m:r>
                  <w:rPr>
                    <w:rFonts w:ascii="Cambria Math" w:cs="Cambria Math" w:eastAsia="Cambria Math" w:hAnsi="Cambria Math"/>
                    <w:sz w:val="20"/>
                    <w:szCs w:val="20"/>
                  </w:rPr>
                  <m:t xml:space="preserve">2</m:t>
                </m:r>
              </m:sub>
            </m:sSub>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 0.55</m:t>
        </m:r>
      </m:oMath>
      <w:r w:rsidDel="00000000" w:rsidR="00000000" w:rsidRPr="00000000">
        <w:rPr>
          <w:rFonts w:ascii="Arial" w:cs="Arial" w:eastAsia="Arial" w:hAnsi="Arial"/>
          <w:sz w:val="20"/>
          <w:szCs w:val="20"/>
          <w:rtl w:val="0"/>
        </w:rPr>
        <w:t xml:space="preserve">, </w:t>
      </w:r>
      <m:oMath>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CO</m:t>
            </m:r>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 0.45</m:t>
        </m:r>
      </m:oMath>
      <w:r w:rsidDel="00000000" w:rsidR="00000000" w:rsidRPr="00000000">
        <w:rPr>
          <w:rFonts w:ascii="Arial" w:cs="Arial" w:eastAsia="Arial" w:hAnsi="Arial"/>
          <w:sz w:val="20"/>
          <w:szCs w:val="20"/>
          <w:rtl w:val="0"/>
        </w:rPr>
        <w:t xml:space="preserve">, and </w:t>
      </w:r>
      <m:oMath>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R</m:t>
            </m:r>
          </m:e>
          <m:sub>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O</m:t>
                </m:r>
              </m:e>
              <m:sub>
                <m:r>
                  <w:rPr>
                    <w:rFonts w:ascii="Cambria Math" w:cs="Cambria Math" w:eastAsia="Cambria Math" w:hAnsi="Cambria Math"/>
                    <w:sz w:val="20"/>
                    <w:szCs w:val="20"/>
                  </w:rPr>
                  <m:t xml:space="preserve">3</m:t>
                </m:r>
              </m:sub>
            </m:sSub>
          </m:sub>
          <m:sup>
            <m:r>
              <w:rPr>
                <w:rFonts w:ascii="Cambria Math" w:cs="Cambria Math" w:eastAsia="Cambria Math" w:hAnsi="Cambria Math"/>
                <w:sz w:val="20"/>
                <w:szCs w:val="20"/>
              </w:rPr>
              <m:t xml:space="preserve">2</m:t>
            </m:r>
          </m:sup>
        </m:sSubSup>
        <m:r>
          <w:rPr>
            <w:rFonts w:ascii="Cambria Math" w:cs="Cambria Math" w:eastAsia="Cambria Math" w:hAnsi="Cambria Math"/>
            <w:sz w:val="20"/>
            <w:szCs w:val="20"/>
          </w:rPr>
          <m:t xml:space="preserve">= 0.35.</m:t>
        </m:r>
      </m:oMath>
      <w:r w:rsidDel="00000000" w:rsidR="00000000" w:rsidRPr="00000000">
        <w:rPr>
          <w:rFonts w:ascii="Arial" w:cs="Arial" w:eastAsia="Arial" w:hAnsi="Arial"/>
          <w:sz w:val="20"/>
          <w:szCs w:val="20"/>
          <w:rtl w:val="0"/>
        </w:rPr>
        <w:t xml:space="preserve"> (pp. 1, 11). This deficiency was attributed to a higher incidence of missing sensor observations and the rapid, highly dynamic chemical transformations inherent to gases (pp. 1, 12).</w:t>
      </w:r>
    </w:p>
    <w:p w:rsidR="00000000" w:rsidDel="00000000" w:rsidP="00000000" w:rsidRDefault="00000000" w:rsidRPr="00000000" w14:paraId="0000000B">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Methodological Limitations</w:t>
      </w:r>
      <w:r w:rsidDel="00000000" w:rsidR="00000000" w:rsidRPr="00000000">
        <w:rPr>
          <w:rFonts w:ascii="Arial" w:cs="Arial" w:eastAsia="Arial" w:hAnsi="Arial"/>
          <w:sz w:val="20"/>
          <w:szCs w:val="20"/>
          <w:rtl w:val="0"/>
        </w:rPr>
        <w:br w:type="textWrapping"/>
        <w:t xml:space="preserve">The authors identified clear boundary constraints of traditional Lasso regression when dealing with environmental data (p. 12). Because Lasso enforces strictly linear combinations, it inherently struggles to map the highly complex, non-linear atmospheric interactions that dictate secondary pollutant formation (such as photochemical ozone generation) (pp. 2, 12). Furthermore, its aggressive feature selection risk omitting marginally predictive yet physically pertinent environmental variables (p. 13). The study concludes that while standard Lasso provides an invaluable baseline and highly interpretable sparsity profiles, subsequent complex environmental modeling may require advanced biased-correcting techniques such as Thresholded Lasso (TL) or Smoothly Clipped Absolute Deviation (SCAD) (pp. 2, 13).</w:t>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Comparison of Lasso and Stepwise Regression in Psychological Data.</w:t>
      </w:r>
    </w:p>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Zhou, D. J., Chahal, R., Gotlib, I. H., &amp; Liu, S. (2024). Comparison of Lasso and Stepwise Regression in Psychological Data. </w:t>
      </w:r>
      <w:r w:rsidDel="00000000" w:rsidR="00000000" w:rsidRPr="00000000">
        <w:rPr>
          <w:rFonts w:ascii="Arial" w:cs="Arial" w:eastAsia="Arial" w:hAnsi="Arial"/>
          <w:i w:val="1"/>
          <w:iCs w:val="1"/>
          <w:sz w:val="20"/>
          <w:szCs w:val="20"/>
          <w:rtl w:val="0"/>
        </w:rPr>
        <w:t xml:space="preserve">Methodology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20</w:t>
      </w:r>
      <w:r w:rsidDel="00000000" w:rsidR="00000000" w:rsidRPr="00000000">
        <w:rPr>
          <w:rFonts w:ascii="Arial" w:cs="Arial" w:eastAsia="Arial" w:hAnsi="Arial"/>
          <w:sz w:val="20"/>
          <w:szCs w:val="20"/>
          <w:rtl w:val="0"/>
        </w:rPr>
        <w:t xml:space="preserve">(2), Article e11523. </w:t>
      </w:r>
      <w:hyperlink r:id="rId7">
        <w:r w:rsidDel="00000000" w:rsidR="00000000" w:rsidRPr="00000000">
          <w:rPr>
            <w:rFonts w:ascii="Arial" w:cs="Arial" w:eastAsia="Arial" w:hAnsi="Arial"/>
            <w:color w:val="467886"/>
            <w:sz w:val="20"/>
            <w:szCs w:val="20"/>
            <w:u w:val="single"/>
            <w:rtl w:val="0"/>
          </w:rPr>
          <w:t xml:space="preserve">https://doi.org/10.5964/meth.11523</w:t>
        </w:r>
      </w:hyperlink>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Lasso regression addresses the limitations of traditional stepwise methods, such as overfitting and inflated false-positive rates (pp. 121-122). By introducing a tuning parameter (</w:t>
      </w:r>
      <w:r w:rsidDel="00000000" w:rsidR="00000000" w:rsidRPr="00000000">
        <w:rPr>
          <w:rFonts w:ascii="Arial" w:cs="Arial" w:eastAsia="Arial" w:hAnsi="Arial"/>
          <w:b w:val="1"/>
          <w:bCs w:val="1"/>
          <w:i w:val="1"/>
          <w:iCs w:val="1"/>
          <w:sz w:val="20"/>
          <w:szCs w:val="20"/>
          <w:rtl w:val="0"/>
        </w:rPr>
        <w:t xml:space="preserve">λ</w:t>
      </w:r>
      <w:r w:rsidDel="00000000" w:rsidR="00000000" w:rsidRPr="00000000">
        <w:rPr>
          <w:rFonts w:ascii="Arial" w:cs="Arial" w:eastAsia="Arial" w:hAnsi="Arial"/>
          <w:sz w:val="20"/>
          <w:szCs w:val="20"/>
          <w:rtl w:val="0"/>
        </w:rPr>
        <w:t xml:space="preserve">), it systematically shrinks less influential coefficient estimates toward zero (p. 124). This trade-off elevates bias to dramatically reduce sampling variance, optimizing out-of-sample predictability (pp. 123-124). In low-dimensional psychological datasets, Lasso with a harsher shrinkage parameter (</w:t>
      </w:r>
      <w:r w:rsidDel="00000000" w:rsidR="00000000" w:rsidRPr="00000000">
        <w:rPr>
          <w:rFonts w:ascii="Arial" w:cs="Arial" w:eastAsia="Arial" w:hAnsi="Arial"/>
          <w:b w:val="1"/>
          <w:bCs w:val="1"/>
          <w:i w:val="1"/>
          <w:iCs w:val="1"/>
          <w:sz w:val="20"/>
          <w:szCs w:val="20"/>
          <w:rtl w:val="0"/>
        </w:rPr>
        <w:t xml:space="preserve">λ</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vertAlign w:val="subscript"/>
          <w:rtl w:val="0"/>
        </w:rPr>
        <w:t xml:space="preserve">1</w:t>
      </w:r>
      <w:r w:rsidDel="00000000" w:rsidR="00000000" w:rsidRPr="00000000">
        <w:rPr>
          <w:rFonts w:ascii="Arial" w:cs="Arial" w:eastAsia="Arial" w:hAnsi="Arial"/>
          <w:i w:val="1"/>
          <w:iCs w:val="1"/>
          <w:sz w:val="20"/>
          <w:szCs w:val="20"/>
          <w:vertAlign w:val="subscript"/>
          <w:rtl w:val="0"/>
        </w:rPr>
        <w:t xml:space="preserve">se</w:t>
      </w:r>
      <w:r w:rsidDel="00000000" w:rsidR="00000000" w:rsidRPr="00000000">
        <w:rPr>
          <w:rFonts w:ascii="Arial" w:cs="Arial" w:eastAsia="Arial" w:hAnsi="Arial"/>
          <w:sz w:val="20"/>
          <w:szCs w:val="20"/>
          <w:rtl w:val="0"/>
        </w:rPr>
        <w:t xml:space="preserve">) yields superior model parsimony and higher overall selection accuracy compared to prediction-optimized Lasso (</w:t>
      </w:r>
      <w:r w:rsidDel="00000000" w:rsidR="00000000" w:rsidRPr="00000000">
        <w:rPr>
          <w:rFonts w:ascii="Arial" w:cs="Arial" w:eastAsia="Arial" w:hAnsi="Arial"/>
          <w:b w:val="1"/>
          <w:bCs w:val="1"/>
          <w:i w:val="1"/>
          <w:iCs w:val="1"/>
          <w:sz w:val="20"/>
          <w:szCs w:val="20"/>
          <w:rtl w:val="0"/>
        </w:rPr>
        <w:t xml:space="preserve">λ</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vertAlign w:val="subscript"/>
          <w:rtl w:val="0"/>
        </w:rPr>
        <w:t xml:space="preserve">min</w:t>
      </w:r>
      <w:r w:rsidDel="00000000" w:rsidR="00000000" w:rsidRPr="00000000">
        <w:rPr>
          <w:rFonts w:ascii="Arial" w:cs="Arial" w:eastAsia="Arial" w:hAnsi="Arial"/>
          <w:sz w:val="20"/>
          <w:szCs w:val="20"/>
          <w:rtl w:val="0"/>
        </w:rPr>
        <w:t xml:space="preserve">) (pp. 121, 124). However, its capability to exclude non-informative predictors (specificity) remains lower than stepwise regression using the Bayesian Information Criterion (BIC) when candidate predictor pools are small and true effects are sparse (pp. 131, 137).</w:t>
      </w:r>
    </w:p>
    <w:p w:rsidR="00000000" w:rsidDel="00000000" w:rsidP="00000000" w:rsidRDefault="00000000" w:rsidRPr="00000000" w14:paraId="00000014">
      <w:pPr>
        <w:spacing w:after="0" w:line="24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Lasso-based variable selection methods in text regression: the case of short texts.</w:t>
      </w:r>
    </w:p>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Freo, M., Luati, A. Lasso-based variable selection methods in text regression: the case of short texts. </w:t>
      </w:r>
      <w:r w:rsidDel="00000000" w:rsidR="00000000" w:rsidRPr="00000000">
        <w:rPr>
          <w:rFonts w:ascii="Arial" w:cs="Arial" w:eastAsia="Arial" w:hAnsi="Arial"/>
          <w:i w:val="1"/>
          <w:iCs w:val="1"/>
          <w:sz w:val="20"/>
          <w:szCs w:val="20"/>
          <w:rtl w:val="0"/>
        </w:rPr>
        <w:t xml:space="preserve">AStA Adv Stat Anal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108</w:t>
      </w:r>
      <w:r w:rsidDel="00000000" w:rsidR="00000000" w:rsidRPr="00000000">
        <w:rPr>
          <w:rFonts w:ascii="Arial" w:cs="Arial" w:eastAsia="Arial" w:hAnsi="Arial"/>
          <w:sz w:val="20"/>
          <w:szCs w:val="20"/>
          <w:rtl w:val="0"/>
        </w:rPr>
        <w:t xml:space="preserve">, 69–99 (2024). </w:t>
      </w:r>
      <w:hyperlink r:id="rId8">
        <w:r w:rsidDel="00000000" w:rsidR="00000000" w:rsidRPr="00000000">
          <w:rPr>
            <w:rFonts w:ascii="Arial" w:cs="Arial" w:eastAsia="Arial" w:hAnsi="Arial"/>
            <w:color w:val="467886"/>
            <w:sz w:val="20"/>
            <w:szCs w:val="20"/>
            <w:u w:val="single"/>
            <w:rtl w:val="0"/>
          </w:rPr>
          <w:t xml:space="preserve">https://doi.org/10.1007/s10182-023-00472-0</w:t>
        </w:r>
      </w:hyperlink>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Lasso-based text regression offers a supervised alternative to unsupervised topic modeling for high-dimensional, sparse short-text datasets (pp. 70-71). Lasso addresses this by evaluating individual token predictors (p. 71). It adds an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1</m:t>
            </m:r>
          </m:sub>
        </m:sSub>
      </m:oMath>
      <w:r w:rsidDel="00000000" w:rsidR="00000000" w:rsidRPr="00000000">
        <w:rPr>
          <w:rFonts w:ascii="Arial" w:cs="Arial" w:eastAsia="Arial" w:hAnsi="Arial"/>
          <w:sz w:val="20"/>
          <w:szCs w:val="20"/>
          <w:rtl w:val="0"/>
        </w:rPr>
        <w:t xml:space="preserve"> penalty to ordinary least squares (pp. 73, 80). This constraint drives uninformative word coefficients to zero (p. 80). By evaluating predictors at the word or token level, it retains interpretability and avoids the loss of meaning that Latent Dirichlet Allocation (LDA) suffers when processing sparse word co-occurrences (pp. 70-71). Empirically, text regressions using stability selection or the extended Bayesian Information Criterion (eBIC) balance explanatory power and parsimony, outperforming LDA in telegraphic contexts like e-commerce product listings (pp. 83, 97). It effectively shrinks the parameter space (p. 73). In short-text analytics, optimization via extended BIC (</w:t>
      </w:r>
      <w:r w:rsidDel="00000000" w:rsidR="00000000" w:rsidRPr="00000000">
        <w:rPr>
          <w:rFonts w:ascii="Arial" w:cs="Arial" w:eastAsia="Arial" w:hAnsi="Arial"/>
          <w:b w:val="1"/>
          <w:bCs w:val="1"/>
          <w:sz w:val="20"/>
          <w:szCs w:val="20"/>
          <w:rtl w:val="0"/>
        </w:rPr>
        <w:t xml:space="preserve">eBIC</w:t>
      </w:r>
      <w:r w:rsidDel="00000000" w:rsidR="00000000" w:rsidRPr="00000000">
        <w:rPr>
          <w:rFonts w:ascii="Arial" w:cs="Arial" w:eastAsia="Arial" w:hAnsi="Arial"/>
          <w:sz w:val="20"/>
          <w:szCs w:val="20"/>
          <w:rtl w:val="0"/>
        </w:rPr>
        <w:t xml:space="preserve">) yields high parsimony (pp. 79, 84). Stability selection further improves selection robustness under data perturbations (pp. 79, 85). The supervised method outperforms unsupervised alternatives in descriptive datasets (pp. 90, 97). However, it faces interpretive challenges when text lengths increase (pp. 95, 97).</w:t>
      </w:r>
    </w:p>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 LASSO for predictive regression</w:t>
      </w:r>
    </w:p>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J. H., Shi, Z., &amp; Gao, Z. (2022). On LASSO for predictive regression. </w:t>
      </w:r>
      <w:r w:rsidDel="00000000" w:rsidR="00000000" w:rsidRPr="00000000">
        <w:rPr>
          <w:rFonts w:ascii="Arial" w:cs="Arial" w:eastAsia="Arial" w:hAnsi="Arial"/>
          <w:i w:val="1"/>
          <w:iCs w:val="1"/>
          <w:sz w:val="20"/>
          <w:szCs w:val="20"/>
          <w:rtl w:val="0"/>
        </w:rPr>
        <w:t xml:space="preserve">Journal of Econometrics, 229</w:t>
      </w:r>
      <w:r w:rsidDel="00000000" w:rsidR="00000000" w:rsidRPr="00000000">
        <w:rPr>
          <w:rFonts w:ascii="Arial" w:cs="Arial" w:eastAsia="Arial" w:hAnsi="Arial"/>
          <w:sz w:val="20"/>
          <w:szCs w:val="20"/>
          <w:rtl w:val="0"/>
        </w:rPr>
        <w:t xml:space="preserve">(2), 322–349. </w:t>
      </w:r>
      <w:hyperlink r:id="rId9">
        <w:r w:rsidDel="00000000" w:rsidR="00000000" w:rsidRPr="00000000">
          <w:rPr>
            <w:rFonts w:ascii="Arial" w:cs="Arial" w:eastAsia="Arial" w:hAnsi="Arial"/>
            <w:color w:val="467886"/>
            <w:sz w:val="20"/>
            <w:szCs w:val="20"/>
            <w:u w:val="single"/>
            <w:rtl w:val="0"/>
          </w:rPr>
          <w:t xml:space="preserve">https://doi.org/10.1016/j.jeconom.2021.02.002</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Traditional predictive regressions often suffer from low signal-to-noise ratios (SNR) and severe test size distortions due to endogenous and nonstationary regressors (p. 322). Lasso provides an objective approach to variable selection by shrinking inactive parameters exactly to zero (pp. 323, 331). However, in time series contexts with heterogeneous persistence configurations (mixed roots), plain and standardized variants fail to adapt because they ignore underlying cointegrating systems (pp. 323, 332). </w:t>
      </w:r>
    </w:p>
    <w:p w:rsidR="00000000" w:rsidDel="00000000" w:rsidP="00000000" w:rsidRDefault="00000000" w:rsidRPr="00000000" w14:paraId="0000002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adaptive Lasso (Alasso) attempts to fix this by using varying penalty weights, but it tends to over-select redundant cointegrated variables because the first-stage initial estimator converges too slowly at a      </w:t>
      </w:r>
      <m:oMath>
        <m:rad>
          <m:radPr>
            <m:degHide m:val="1"/>
            <m:ctrlPr>
              <w:rPr>
                <w:rFonts w:ascii="Cambria Math" w:cs="Cambria Math" w:eastAsia="Cambria Math" w:hAnsi="Cambria Math"/>
              </w:rPr>
            </m:ctrlPr>
          </m:radPr>
          <m:e>
            <m:r>
              <w:rPr>
                <w:rFonts w:ascii="Cambria Math" w:cs="Cambria Math" w:eastAsia="Cambria Math" w:hAnsi="Cambria Math"/>
              </w:rPr>
              <m:t xml:space="preserve">n</m:t>
            </m:r>
          </m:e>
        </m:rad>
      </m:oMath>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rate (pp. 323, 328). To bypass this limitation, the Twin Adaptive Lasso (TAlasso) executes a repeated implementation of the algorithm (pp. 322-323). By utilizing a post-selection adaptive scheme, TAlasso successfully shatters inactive cointegrating bonds, accelerates the parameter convergence rate to a fast </w:t>
      </w:r>
      <w:r w:rsidDel="00000000" w:rsidR="00000000" w:rsidRPr="00000000">
        <w:rPr>
          <w:rFonts w:ascii="Arial" w:cs="Arial" w:eastAsia="Arial" w:hAnsi="Arial"/>
          <w:b w:val="1"/>
          <w:bCs w:val="1"/>
          <w:i w:val="1"/>
          <w:iCs w:val="1"/>
          <w:sz w:val="20"/>
          <w:szCs w:val="20"/>
          <w:rtl w:val="0"/>
        </w:rPr>
        <w:t xml:space="preserve">n</w:t>
      </w:r>
      <w:r w:rsidDel="00000000" w:rsidR="00000000" w:rsidRPr="00000000">
        <w:rPr>
          <w:rFonts w:ascii="Arial" w:cs="Arial" w:eastAsia="Arial" w:hAnsi="Arial"/>
          <w:sz w:val="20"/>
          <w:szCs w:val="20"/>
          <w:rtl w:val="0"/>
        </w:rPr>
        <w:t xml:space="preserve"> speed, and fully reclaims the econometric oracle property across mixed-memory components (pp. 323, 330).</w:t>
      </w:r>
    </w:p>
    <w:p w:rsidR="00000000" w:rsidDel="00000000" w:rsidP="00000000" w:rsidRDefault="00000000" w:rsidRPr="00000000" w14:paraId="00000022">
      <w:pPr>
        <w:spacing w:after="0" w:line="24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lasso for high dimensional regression with a possible change point</w:t>
      </w:r>
    </w:p>
    <w:p w:rsidR="00000000" w:rsidDel="00000000" w:rsidP="00000000" w:rsidRDefault="00000000" w:rsidRPr="00000000" w14:paraId="0000002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S., Seo, M. H., &amp; Shin, Y. (2016). The lasso for high-dimensional regression with a possible change-point. </w:t>
      </w:r>
      <w:r w:rsidDel="00000000" w:rsidR="00000000" w:rsidRPr="00000000">
        <w:rPr>
          <w:rFonts w:ascii="Arial" w:cs="Arial" w:eastAsia="Arial" w:hAnsi="Arial"/>
          <w:i w:val="1"/>
          <w:iCs w:val="1"/>
          <w:sz w:val="20"/>
          <w:szCs w:val="20"/>
          <w:rtl w:val="0"/>
        </w:rPr>
        <w:t xml:space="preserve">Journal of the Royal Statistical Society Series B: Statistical Methodology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78</w:t>
      </w:r>
      <w:r w:rsidDel="00000000" w:rsidR="00000000" w:rsidRPr="00000000">
        <w:rPr>
          <w:rFonts w:ascii="Arial" w:cs="Arial" w:eastAsia="Arial" w:hAnsi="Arial"/>
          <w:sz w:val="20"/>
          <w:szCs w:val="20"/>
          <w:rtl w:val="0"/>
        </w:rPr>
        <w:t xml:space="preserve">(1), 193–210. </w:t>
      </w:r>
      <w:hyperlink r:id="rId10">
        <w:r w:rsidDel="00000000" w:rsidR="00000000" w:rsidRPr="00000000">
          <w:rPr>
            <w:rFonts w:ascii="Arial" w:cs="Arial" w:eastAsia="Arial" w:hAnsi="Arial"/>
            <w:color w:val="467886"/>
            <w:sz w:val="20"/>
            <w:szCs w:val="20"/>
            <w:u w:val="single"/>
            <w:rtl w:val="0"/>
          </w:rPr>
          <w:t xml:space="preserve">https://ideas.repec.org/a/bla/jorssb/v78y2016i1p193-210.html</w:t>
        </w:r>
      </w:hyperlink>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High-dimensional datasets containing threshold-driven regime shifts often suffer from unidentifiable structural change points and ad-hoc variable selection (p. 194). Lasso resolves this by nesting linear and threshold systems within a single</w:t>
      </w:r>
      <m:oMath>
        <m:r>
          <w:rPr>
            <w:rFonts w:ascii="Cambria Math" w:cs="Cambria Math" w:eastAsia="Cambria Math" w:hAnsi="Cambria Math"/>
            <w:sz w:val="20"/>
            <w:szCs w:val="20"/>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1</m:t>
            </m:r>
          </m:sub>
        </m:sSub>
      </m:oMath>
      <w:r w:rsidDel="00000000" w:rsidR="00000000" w:rsidRPr="00000000">
        <w:rPr>
          <w:rFonts w:ascii="Arial" w:cs="Arial" w:eastAsia="Arial" w:hAnsi="Arial"/>
          <w:sz w:val="20"/>
          <w:szCs w:val="20"/>
          <w:rtl w:val="0"/>
        </w:rPr>
        <w:t xml:space="preserve">-penalized objective function (p. 193). Under strict sparsity constraints, this framework enforces non-asymptotic oracle inequalities for both prediction risk and estimation loss without requiring structural pretesting (p. 193). Because the threshold parameter operates non-linearly, the underlying optimization terrain is non-convex ( p. 194). Estimators resolve this by constructing a scale-normalized dictionary across a grid search of possible threshold bounds (pp. 194, 196). When a true threshold jump exists, the objective function operates linearly in a local neighborhood around the change point rather than quadratically (p. 204). This localized linear behavior elevates the threshold parameter to a condition of superconsistency, bounding its estimation error near an </w:t>
      </w:r>
      <w:r w:rsidDel="00000000" w:rsidR="00000000" w:rsidRPr="00000000">
        <w:rPr>
          <w:rFonts w:ascii="Arial" w:cs="Arial" w:eastAsia="Arial" w:hAnsi="Arial"/>
          <w:i w:val="1"/>
          <w:iCs w:val="1"/>
          <w:sz w:val="20"/>
          <w:szCs w:val="20"/>
          <w:rtl w:val="0"/>
        </w:rPr>
        <w:t xml:space="preserve">n</w:t>
      </w:r>
      <w:r w:rsidDel="00000000" w:rsidR="00000000" w:rsidRPr="00000000">
        <w:rPr>
          <w:rFonts w:ascii="Arial" w:cs="Arial" w:eastAsia="Arial" w:hAnsi="Arial"/>
          <w:sz w:val="20"/>
          <w:szCs w:val="20"/>
          <w:vertAlign w:val="superscript"/>
          <w:rtl w:val="0"/>
        </w:rPr>
        <w:t xml:space="preserve">-1</w:t>
      </w:r>
      <w:r w:rsidDel="00000000" w:rsidR="00000000" w:rsidRPr="00000000">
        <w:rPr>
          <w:rFonts w:ascii="Arial" w:cs="Arial" w:eastAsia="Arial" w:hAnsi="Arial"/>
          <w:sz w:val="20"/>
          <w:szCs w:val="20"/>
          <w:rtl w:val="0"/>
        </w:rPr>
        <w:t xml:space="preserve"> factor even when the total pool of covariates drastically outnumbers the sample size (</w:t>
      </w:r>
      <w:r w:rsidDel="00000000" w:rsidR="00000000" w:rsidRPr="00000000">
        <w:rPr>
          <w:rFonts w:ascii="Arial" w:cs="Arial" w:eastAsia="Arial" w:hAnsi="Arial"/>
          <w:b w:val="1"/>
          <w:bCs w:val="1"/>
          <w:i w:val="1"/>
          <w:iCs w:val="1"/>
          <w:sz w:val="20"/>
          <w:szCs w:val="20"/>
          <w:rtl w:val="0"/>
        </w:rPr>
        <w:t xml:space="preserve">M &gt;&gt; n</w:t>
      </w:r>
      <w:r w:rsidDel="00000000" w:rsidR="00000000" w:rsidRPr="00000000">
        <w:rPr>
          <w:rFonts w:ascii="Arial" w:cs="Arial" w:eastAsia="Arial" w:hAnsi="Arial"/>
          <w:sz w:val="20"/>
          <w:szCs w:val="20"/>
          <w:rtl w:val="0"/>
        </w:rPr>
        <w:t xml:space="preserve">) (pp. 193, 204).</w:t>
      </w:r>
    </w:p>
    <w:p w:rsidR="00000000" w:rsidDel="00000000" w:rsidP="00000000" w:rsidRDefault="00000000" w:rsidRPr="00000000" w14:paraId="0000002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Using Lasso for Predictor Selection and to Assuage Overfitting: A Method Long Overlooked in Behavioral Sciences</w:t>
      </w:r>
    </w:p>
    <w:p w:rsidR="00000000" w:rsidDel="00000000" w:rsidP="00000000" w:rsidRDefault="00000000" w:rsidRPr="00000000" w14:paraId="0000002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McNeish, Daniel M. (2015) Using Lasso for Predictor Selection and to Assuage Overfitting: A Method Long Overlooked in Behavioral Sciences, Multivariate Behavioral Research, 50:5, 471-484. </w:t>
      </w:r>
      <w:hyperlink r:id="rId11">
        <w:r w:rsidDel="00000000" w:rsidR="00000000" w:rsidRPr="00000000">
          <w:rPr>
            <w:rFonts w:ascii="Arial" w:cs="Arial" w:eastAsia="Arial" w:hAnsi="Arial"/>
            <w:color w:val="467886"/>
            <w:sz w:val="20"/>
            <w:szCs w:val="20"/>
            <w:u w:val="single"/>
            <w:rtl w:val="0"/>
          </w:rPr>
          <w:t xml:space="preserve">https://doi.org/10.1080/00273171.2015.1036965</w:t>
        </w:r>
      </w:hyperlink>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Lasso stands for Least Absolute Shrinkage and Selection Operator (p. 472). It is a regularization method for regression models (pp. 472, 474). It adds a penalty to the loss function (p. 474). This shrinks regression coefficients toward zero (p. 475).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Lasso</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β</m:t>
                </m:r>
              </m:e>
            </m:d>
          </m:sub>
        </m:sSub>
        <m:r>
          <w:rPr>
            <w:rFonts w:ascii="Cambria Math" w:cs="Cambria Math" w:eastAsia="Cambria Math" w:hAnsi="Cambria Math"/>
            <w:sz w:val="20"/>
            <w:szCs w:val="20"/>
          </w:rPr>
          <m:t xml:space="preserve">= </m:t>
        </m:r>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Y - Xβ</m:t>
                    </m:r>
                  </m:e>
                </m:d>
              </m:e>
            </m:d>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 λ</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W</m:t>
            </m:r>
          </m:e>
          <m:sup>
            <m:r>
              <w:rPr>
                <w:rFonts w:ascii="Cambria Math" w:cs="Cambria Math" w:eastAsia="Cambria Math" w:hAnsi="Cambria Math"/>
                <w:sz w:val="20"/>
                <w:szCs w:val="20"/>
              </w:rPr>
              <m:t xml:space="preserve">T</m:t>
            </m:r>
          </m:sup>
        </m:sSup>
        <m:r>
          <w:rPr>
            <w:rFonts w:ascii="Cambria Math" w:cs="Cambria Math" w:eastAsia="Cambria Math" w:hAnsi="Cambria Math"/>
            <w:sz w:val="20"/>
            <w:szCs w:val="20"/>
          </w:rPr>
          <m:t>β</m:t>
        </m:r>
      </m:oMath>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F">
      <w:pPr>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Lasso</m:t>
            </m:r>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β</m:t>
                    </m:r>
                  </m:e>
                  <m:sub>
                    <m:r>
                      <w:rPr>
                        <w:rFonts w:ascii="Cambria Math" w:cs="Cambria Math" w:eastAsia="Cambria Math" w:hAnsi="Cambria Math"/>
                        <w:sz w:val="20"/>
                        <w:szCs w:val="20"/>
                      </w:rPr>
                      <m:t xml:space="preserve">1</m:t>
                    </m:r>
                  </m:sub>
                </m:sSub>
                <m:r>
                  <w:rPr>
                    <w:rFonts w:ascii="Cambria Math" w:cs="Cambria Math" w:eastAsia="Cambria Math" w:hAnsi="Cambria Math"/>
                    <w:sz w:val="20"/>
                    <w:szCs w:val="20"/>
                  </w:rPr>
                  <m:t xml:space="preserve">,</m:t>
                </m:r>
                <m:r>
                  <w:rPr>
                    <w:rFonts w:ascii="Cambria Math" w:cs="Cambria Math" w:eastAsia="Cambria Math" w:hAnsi="Cambria Math"/>
                    <w:sz w:val="20"/>
                    <w:szCs w:val="20"/>
                  </w:rPr>
                  <m:t>…</m:t>
                </m:r>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β</m:t>
                    </m:r>
                  </m:e>
                  <m:sub>
                    <m:r>
                      <w:rPr>
                        <w:rFonts w:ascii="Cambria Math" w:cs="Cambria Math" w:eastAsia="Cambria Math" w:hAnsi="Cambria Math"/>
                        <w:sz w:val="20"/>
                        <w:szCs w:val="20"/>
                      </w:rPr>
                      <m:t xml:space="preserve">p</m:t>
                    </m:r>
                  </m:sub>
                </m:sSub>
              </m:e>
            </m:d>
          </m:sub>
        </m:sSub>
        <m:r>
          <w:rPr>
            <w:rFonts w:ascii="Cambria Math" w:cs="Cambria Math" w:eastAsia="Cambria Math" w:hAnsi="Cambria Math"/>
            <w:sz w:val="20"/>
            <w:szCs w:val="20"/>
          </w:rPr>
          <m:t xml:space="preserve">= </m:t>
        </m:r>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Y - </m:t>
                    </m:r>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j=1</m:t>
                        </m:r>
                      </m:sub>
                      <m:sup>
                        <m:r>
                          <w:rPr>
                            <w:rFonts w:ascii="Cambria Math" w:cs="Cambria Math" w:eastAsia="Cambria Math" w:hAnsi="Cambria Math"/>
                            <w:sz w:val="20"/>
                            <w:szCs w:val="20"/>
                          </w:rPr>
                          <m:t xml:space="preserve">p</m:t>
                        </m:r>
                      </m:sup>
                    </m:nary>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j</m:t>
                        </m:r>
                      </m:sub>
                    </m:sSub>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β</m:t>
                        </m:r>
                      </m:e>
                      <m:sub>
                        <m:r>
                          <w:rPr>
                            <w:rFonts w:ascii="Cambria Math" w:cs="Cambria Math" w:eastAsia="Cambria Math" w:hAnsi="Cambria Math"/>
                            <w:sz w:val="20"/>
                            <w:szCs w:val="20"/>
                          </w:rPr>
                          <m:t xml:space="preserve">j</m:t>
                        </m:r>
                      </m:sub>
                    </m:sSub>
                  </m:e>
                </m:d>
              </m:e>
            </m:d>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 λ</m:t>
        </m:r>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j=1</m:t>
            </m:r>
          </m:sub>
          <m:sup>
            <m:r>
              <w:rPr>
                <w:rFonts w:ascii="Cambria Math" w:cs="Cambria Math" w:eastAsia="Cambria Math" w:hAnsi="Cambria Math"/>
                <w:sz w:val="20"/>
                <w:szCs w:val="20"/>
              </w:rPr>
              <m:t xml:space="preserve">p</m:t>
            </m:r>
          </m:sup>
        </m:nary>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β</m:t>
                </m:r>
              </m:e>
              <m:sub>
                <m:r>
                  <w:rPr>
                    <w:rFonts w:ascii="Cambria Math" w:cs="Cambria Math" w:eastAsia="Cambria Math" w:hAnsi="Cambria Math"/>
                    <w:sz w:val="20"/>
                    <w:szCs w:val="20"/>
                  </w:rPr>
                  <m:t xml:space="preserve">j</m:t>
                </m:r>
              </m:sub>
            </m:sSub>
          </m:e>
        </m:d>
      </m:oMath>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How it’s used: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Assuages overfitting: Reduces inflated 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values (pp. 472-473).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predictors: Drops unimportant variables automatically (p. 476).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Creates sparse models: Sets weak coefficients to exactly zero (p. 476).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Aids generalizability: Stabilizes estimates across different samples (p. 475).</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Extends to ML: Applies to logistic and Poisson models (pp. 475, </w:t>
      </w:r>
      <w:r w:rsidDel="00000000" w:rsidR="00000000" w:rsidRPr="00000000">
        <w:rPr>
          <w:rFonts w:ascii="Arial" w:cs="Arial" w:eastAsia="Arial" w:hAnsi="Arial"/>
          <w:sz w:val="20"/>
          <w:szCs w:val="20"/>
          <w:rtl w:val="0"/>
        </w:rPr>
        <w:t xml:space="preserve">481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 Shrinkage:</w:t>
      </w:r>
    </w:p>
    <w:p w:rsidR="00000000" w:rsidDel="00000000" w:rsidP="00000000" w:rsidRDefault="00000000" w:rsidRPr="00000000" w14:paraId="000000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Lasso uses an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1</m:t>
            </m:r>
          </m:sub>
        </m:sSub>
      </m:oMath>
      <w:r w:rsidDel="00000000" w:rsidR="00000000" w:rsidRPr="00000000">
        <w:rPr>
          <w:rFonts w:ascii="Arial" w:cs="Arial" w:eastAsia="Arial" w:hAnsi="Arial"/>
          <w:sz w:val="20"/>
          <w:szCs w:val="20"/>
          <w:rtl w:val="0"/>
        </w:rPr>
        <w:t xml:space="preserve"> penalty based on absolute values (p. 476). It applies an equal amount of shrinkage across all coefficients (p. 476). This introduces a controlled amount of statistical bias (pp. 475, 480). However, this bias drastically minimizes between-sample variance (p. 475). The severity of the shrinkage is controlled by the tuning parameter, lambda (</w:t>
      </w:r>
      <w:r w:rsidDel="00000000" w:rsidR="00000000" w:rsidRPr="00000000">
        <w:rPr>
          <w:rFonts w:ascii="Arial" w:cs="Arial" w:eastAsia="Arial" w:hAnsi="Arial"/>
          <w:b w:val="1"/>
          <w:bCs w:val="1"/>
          <w:i w:val="1"/>
          <w:iCs w:val="1"/>
          <w:sz w:val="20"/>
          <w:szCs w:val="20"/>
          <w:rtl w:val="0"/>
        </w:rPr>
        <w:t xml:space="preserve">λ</w:t>
      </w:r>
      <w:r w:rsidDel="00000000" w:rsidR="00000000" w:rsidRPr="00000000">
        <w:rPr>
          <w:rFonts w:ascii="Arial" w:cs="Arial" w:eastAsia="Arial" w:hAnsi="Arial"/>
          <w:sz w:val="20"/>
          <w:szCs w:val="20"/>
          <w:rtl w:val="0"/>
        </w:rPr>
        <w:t xml:space="preserve"> ) (pp. 474, 476).</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0): Yields standard ordinary least squares (OLS) estimates (pp. 475-476).</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sdt>
        <w:sdtPr>
          <w:id w:val="-1804565758"/>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Shrinks all variable coefficients to exactly zero (pp. 475, </w:t>
      </w:r>
      <w:r w:rsidDel="00000000" w:rsidR="00000000" w:rsidRPr="00000000">
        <w:rPr>
          <w:rFonts w:ascii="Arial" w:cs="Arial" w:eastAsia="Arial" w:hAnsi="Arial"/>
          <w:sz w:val="20"/>
          <w:szCs w:val="20"/>
          <w:rtl w:val="0"/>
        </w:rPr>
        <w:t xml:space="preserve">48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3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limitations of LASSO:</w:t>
      </w:r>
    </w:p>
    <w:p w:rsidR="00000000" w:rsidDel="00000000" w:rsidP="00000000" w:rsidRDefault="00000000" w:rsidRPr="00000000" w14:paraId="0000003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closed-form solution: Requires iterative optimization algorithms (pp. 476-477).</w:t>
      </w:r>
    </w:p>
    <w:p w:rsidR="00000000" w:rsidDel="00000000" w:rsidP="00000000" w:rsidRDefault="00000000" w:rsidRPr="00000000" w14:paraId="0000003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Collinearity issues: Selects only one variable from correlated sets (p. 482).</w:t>
      </w:r>
    </w:p>
    <w:p w:rsidR="00000000" w:rsidDel="00000000" w:rsidP="00000000" w:rsidRDefault="00000000" w:rsidRPr="00000000" w14:paraId="0000004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Factor handling: Mentions treating dummy codes as entirely separate predictors (p. 482).</w:t>
      </w:r>
    </w:p>
    <w:p w:rsidR="00000000" w:rsidDel="00000000" w:rsidP="00000000" w:rsidRDefault="00000000" w:rsidRPr="00000000" w14:paraId="000000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Asymptotic selection: Fails optimal predictor selection under specific conditions (p. 482).</w:t>
      </w:r>
    </w:p>
    <w:p w:rsidR="00000000" w:rsidDel="00000000" w:rsidP="00000000" w:rsidRDefault="00000000" w:rsidRPr="00000000" w14:paraId="0000004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Regularization techniques like the Least Absolute Shrinkage and Selection Operator (Lasso) offer a robust alternative to traditional ordinary least squares (OLS) and stepwise variable selection methods, which frequently suffer from inflated coefficients, deflated p-values, and severe overfitting (p. 472). Formulated by incorporating an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1</m:t>
            </m:r>
          </m:sub>
        </m:sSub>
      </m:oMath>
      <w:r w:rsidDel="00000000" w:rsidR="00000000" w:rsidRPr="00000000">
        <w:rPr>
          <w:rFonts w:ascii="Cambria Math" w:cs="Cambria Math" w:eastAsia="Cambria Math" w:hAnsi="Cambria Math"/>
          <w:sz w:val="20"/>
          <w:szCs w:val="20"/>
          <w:rtl w:val="0"/>
        </w:rPr>
        <w:t xml:space="preserve"> </w:t>
      </w:r>
      <w:r w:rsidDel="00000000" w:rsidR="00000000" w:rsidRPr="00000000">
        <w:rPr>
          <w:rFonts w:ascii="Arial" w:cs="Arial" w:eastAsia="Arial" w:hAnsi="Arial"/>
          <w:sz w:val="20"/>
          <w:szCs w:val="20"/>
          <w:rtl w:val="0"/>
        </w:rPr>
        <w:t xml:space="preserve"> penalty function into the regression objective, Lasso minimizes the penalized loss function:</w:t>
      </w:r>
    </w:p>
    <w:p w:rsidR="00000000" w:rsidDel="00000000" w:rsidP="00000000" w:rsidRDefault="00000000" w:rsidRPr="00000000" w14:paraId="0000004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m:oMath>
        <m:r>
          <w:rPr>
            <w:rFonts w:ascii="Cambria Math" w:cs="Cambria Math" w:eastAsia="Cambria Math" w:hAnsi="Cambria Math"/>
            <w:sz w:val="20"/>
            <w:szCs w:val="20"/>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Lasso</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β</m:t>
                </m:r>
              </m:e>
            </m:d>
          </m:sub>
        </m:sSub>
        <m:r>
          <w:rPr>
            <w:rFonts w:ascii="Cambria Math" w:cs="Cambria Math" w:eastAsia="Cambria Math" w:hAnsi="Cambria Math"/>
            <w:sz w:val="20"/>
            <w:szCs w:val="20"/>
          </w:rPr>
          <m:t xml:space="preserve">= </m:t>
        </m:r>
        <m:sSup>
          <m:sSupPr>
            <m:ctrlPr>
              <w:rPr>
                <w:rFonts w:ascii="Cambria Math" w:cs="Cambria Math" w:eastAsia="Cambria Math" w:hAnsi="Cambria Math"/>
                <w:sz w:val="20"/>
                <w:szCs w:val="20"/>
              </w:rPr>
            </m:ctrlPr>
          </m:sSupPr>
          <m:e>
            <m:d>
              <m:dPr>
                <m:begChr m:val="|"/>
                <m:endChr m:val="|"/>
                <m:ctrlPr>
                  <w:rPr>
                    <w:rFonts w:ascii="Cambria Math" w:cs="Cambria Math" w:eastAsia="Cambria Math" w:hAnsi="Cambria Math"/>
                    <w:sz w:val="20"/>
                    <w:szCs w:val="20"/>
                  </w:rPr>
                </m:ctrlPr>
              </m:dPr>
              <m:e>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Y – Xβ</m:t>
                    </m:r>
                  </m:e>
                </m:d>
              </m:e>
            </m:d>
          </m:e>
          <m:sup>
            <m:r>
              <w:rPr>
                <w:rFonts w:ascii="Cambria Math" w:cs="Cambria Math" w:eastAsia="Cambria Math" w:hAnsi="Cambria Math"/>
                <w:sz w:val="20"/>
                <w:szCs w:val="20"/>
              </w:rPr>
              <m:t xml:space="preserve">2</m:t>
            </m:r>
          </m:sup>
        </m:sSup>
        <m:r>
          <w:rPr>
            <w:rFonts w:ascii="Cambria Math" w:cs="Cambria Math" w:eastAsia="Cambria Math" w:hAnsi="Cambria Math"/>
            <w:sz w:val="20"/>
            <w:szCs w:val="20"/>
          </w:rPr>
          <m:t xml:space="preserve">+ λ</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W</m:t>
            </m:r>
          </m:e>
          <m:sup>
            <m:r>
              <w:rPr>
                <w:rFonts w:ascii="Cambria Math" w:cs="Cambria Math" w:eastAsia="Cambria Math" w:hAnsi="Cambria Math"/>
                <w:sz w:val="20"/>
                <w:szCs w:val="20"/>
              </w:rPr>
              <m:t xml:space="preserve">T</m:t>
            </m:r>
          </m:sup>
        </m:sSup>
        <m:r>
          <w:rPr>
            <w:rFonts w:ascii="Cambria Math" w:cs="Cambria Math" w:eastAsia="Cambria Math" w:hAnsi="Cambria Math"/>
            <w:sz w:val="20"/>
            <w:szCs w:val="20"/>
          </w:rPr>
          <m:t>β</m:t>
        </m:r>
      </m:oMath>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 </w:t>
      </w:r>
      <w:r w:rsidDel="00000000" w:rsidR="00000000" w:rsidRPr="00000000">
        <w:rPr>
          <w:rFonts w:ascii="Arial" w:cs="Arial" w:eastAsia="Arial" w:hAnsi="Arial"/>
          <w:b w:val="1"/>
          <w:bCs w:val="1"/>
          <w:i w:val="1"/>
          <w:iCs w:val="1"/>
          <w:sz w:val="20"/>
          <w:szCs w:val="20"/>
          <w:rtl w:val="0"/>
        </w:rPr>
        <w:t xml:space="preserve">λ</w:t>
      </w:r>
      <w:sdt>
        <w:sdtPr>
          <w:id w:val="-1416690142"/>
          <w:tag w:val="goog_rdk_2"/>
        </w:sdtPr>
        <w:sdtContent>
          <w:r w:rsidDel="00000000" w:rsidR="00000000" w:rsidRPr="00000000">
            <w:rPr>
              <w:rFonts w:ascii="Arial Unicode MS" w:cs="Arial Unicode MS" w:eastAsia="Arial Unicode MS" w:hAnsi="Arial Unicode MS"/>
              <w:sz w:val="20"/>
              <w:szCs w:val="20"/>
              <w:rtl w:val="0"/>
            </w:rPr>
            <w:t xml:space="preserve"> ≥ 0 serves as a tuning parameter that determines the overall magnitude of coefficient attenuation (p. 476). Unlike its predecessor ridge regression, Lasso applies a uniform constraint based on the absolute sum of the parameters, allowing uninformative predictors to be shrunken to exactly zero (p. 476). This mechanism establishes a "sparse solution" that simultaneously handles predictor selection and coefficient estimation, improving model parsimony and out-of-sample generalizability by intentionally balancing the bias-variance tradeoff (pp. 475-476). Despite these advantages, Lasso is subject to specific methodological limitations, including the lack of an algebraic, closed-form solution—requiring algorithmic optimizations such as Least Angle Regression (LARS) (pp. 476-477). Furthermore, standard Lasso struggles with highly collinear predictors (where it arbitrarily selects a single variable from a correlated cluster) and handles multi-categorical dummy variables as disjoint, separate factors rather than group entities (p. 482).</w:t>
          </w:r>
        </w:sdtContent>
      </w:sdt>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80/00273171.2015.1036965" TargetMode="External"/><Relationship Id="rId10" Type="http://schemas.openxmlformats.org/officeDocument/2006/relationships/hyperlink" Target="https://ideas.repec.org/a/bla/jorssb/v78y2016i1p193-210.html" TargetMode="External"/><Relationship Id="rId9" Type="http://schemas.openxmlformats.org/officeDocument/2006/relationships/hyperlink" Target="https://doi.org/10.1016/j.jeconom.2021.02.00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5964/meth.11523" TargetMode="External"/><Relationship Id="rId8" Type="http://schemas.openxmlformats.org/officeDocument/2006/relationships/hyperlink" Target="https://doi.org/10.1007/s10182-023-0047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vT1RP9fUZya2o7bKm+4R1O5xg==">CgMxLjAaJAoBMBIfCh0IB0IZCgVBcmlhbBIQQXJpYWwgVW5pY29kZSBNUxokCgExEh8KHQgHQhkKBUFyaWFsEhBBcmlhbCBVbmljb2RlIE1TGiQKATISHwodCAdCGQoFQXJpYWwSEEFyaWFsIFVuaWNvZGUgTVM4AHIhMXpiemR6Q3VrY3JvbmNKeWZ0YUw4ek5NN1pDSGtXRV9Y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