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jc w:val="center"/>
        <w:rPr>
          <w:rFonts w:ascii="Cambria" w:cs="Cambria" w:eastAsia="Cambria" w:hAnsi="Cambria"/>
          <w:b w:val="1"/>
          <w:bCs w:val="1"/>
          <w:color w:val="0d0d0d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36"/>
          <w:szCs w:val="36"/>
          <w:u w:val="single"/>
          <w:rtl w:val="0"/>
        </w:rPr>
        <w:t xml:space="preserve">Shared Leave Policy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purpose of this Shared Leave Policy is to provide guidelines and procedures for employees to voluntarily share accrued leave with eligible coworkers who are experiencing a qualifying event that necessitates extended leave beyond their available accrued leave balances. 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This policy aims to promote a supportive work environment and assist employees facing unforeseen personal or family-related challenges.</w:t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2. Scope</w:t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This policy applies to all regular full-time and part-time employees of [Company Name] who have accrued leave benefits.</w:t>
      </w:r>
    </w:p>
    <w:p w:rsidR="00000000" w:rsidDel="00000000" w:rsidP="00000000" w:rsidRDefault="00000000" w:rsidRPr="00000000" w14:paraId="000000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3. Eligibility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To be eligible to receive shared leave, an employee must meet the following criteria: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Have exhausted all available accrued leave balances (e.g., vacation, sick leave, personal leave).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Experience a qualifying event, such as a serious illness, injury, disability, or caregiving responsibilities, which necessitates an extended leave of absence.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Provide appropriate medical documentation or verification of the qualifying event to Human Resources.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4. Donation of Leave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Employees may voluntarily donate accrued leave hours to the shared leave pool.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Donations must be made in whole-day increments and may not exceed the donor's maximum allowable accrual limit.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Donated leave hours become part of the shared leave pool and are distributed to eligible recipients based on their documented need and available leave balances.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5. Requesting Shared Leave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Employees in need of shared leave must submit a written request to Human Resources, including documentation supporting the qualifying event and the anticipated duration of leave.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Human Resources will review the request, verify eligibility, and determine the amount of shared leave to be granted based on the employee's documented need and available leave balances.</w:t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6. Distribution of Shared Leave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Shared leave hours will be distributed to eligible recipients on a prorated basis, taking into account the total number of hours donated to the shared leave pool and the recipient's documented need.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Recipients will be notified of the approved shared leave allocation and any conditions or restrictions associated with its use.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7. Administration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Human Resources will oversee the administration of the shared leave program, including the collection of donations, processing of requests, and maintenance of accurate records.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The confidentiality of donor and recipient information will be strictly maintained, in accordance with applicable privacy laws and regulations.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d0d0d"/>
          <w:sz w:val="28"/>
          <w:szCs w:val="28"/>
          <w:rtl w:val="0"/>
        </w:rPr>
        <w:t xml:space="preserve">8. Review and Amendment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This Shared Leave Policy shall be reviewed periodically to ensure its effectiveness and compliance with relevant laws and regulations. Amendments may be made as necessary with approval from [appropriate authority or department].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