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  <w:jc w:val="center"/>
      </w:pPr>
      <w:r>
        <w:rPr>
          <w:b/>
          <w:color w:val="1F4E79"/>
          <w:sz w:val="44"/>
        </w:rPr>
        <w:t>Guia do arquivo de KPIs setoriais</w:t>
      </w:r>
    </w:p>
    <w:p>
      <w:pPr>
        <w:spacing w:after="60"/>
        <w:jc w:val="center"/>
      </w:pPr>
      <w:r>
        <w:rPr>
          <w:i/>
          <w:color w:val="606060"/>
          <w:sz w:val="22"/>
        </w:rPr>
        <w:t>matriz_kpis_setores_cvm_agressiva_v3_open_data.xlsx</w:t>
      </w:r>
    </w:p>
    <w:p>
      <w:pPr>
        <w:spacing w:after="360"/>
        <w:jc w:val="center"/>
      </w:pPr>
      <w:r>
        <w:rPr>
          <w:sz w:val="22"/>
        </w:rPr>
        <w:t>Documento de apoio para leitura, navegação e uso em Python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2"/>
              </w:rPr>
              <w:t>Setores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2"/>
              </w:rPr>
              <w:t>KPIs totais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2"/>
              </w:rPr>
              <w:t>Fontes abertas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2"/>
              </w:rPr>
              <w:t>Mapeamentos CVM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22"/>
              </w:rPr>
              <w:t>33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22"/>
              </w:rPr>
              <w:t>748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22"/>
              </w:rPr>
              <w:t>86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22"/>
              </w:rPr>
              <w:t>53 rótulos CVM</w:t>
            </w:r>
          </w:p>
        </w:tc>
      </w:tr>
    </w:tbl>
    <w:p/>
    <w:p>
      <w:pPr>
        <w:spacing w:after="160"/>
      </w:pPr>
      <w:r>
        <w:t>Este documento explica a lógica do workbook, o papel de cada aba, as relações entre as tabelas e a forma recomendada de consumo em Python. A planilha foi desenhada para conciliar três objetivos: proximidade com a nomenclatura da CVM, catálogo amplo de KPIs e rastreabilidade de APIs/bases abertas para automação.</w:t>
      </w:r>
    </w:p>
    <w:p>
      <w:r>
        <w:br w:type="page"/>
      </w:r>
    </w:p>
    <w:p>
      <w:pPr>
        <w:pStyle w:val="Heading1"/>
        <w:spacing w:after="80"/>
      </w:pPr>
      <w:r>
        <w:t>1. Visão geral</w:t>
      </w:r>
    </w:p>
    <w:p>
      <w:pPr>
        <w:spacing w:after="120"/>
      </w:pPr>
      <w:r>
        <w:t>O arquivo organiza o conteúdo em camadas. A aba central é kpis_all, que concentra os KPIs setoriais e universais em formato tabular único. Em volta dela há abas de apoio para taxonomia, mapeamento com a CVM, catálogo de fontes e documentação do esquema.</w:t>
      </w:r>
    </w:p>
    <w:p>
      <w:pPr>
        <w:pStyle w:val="ListBullet"/>
        <w:spacing w:after="40"/>
        <w:ind w:left="227"/>
      </w:pPr>
      <w:r>
        <w:t>Camada 1 — KPIs: kpis_all, kpis_setoriais e kpis_universais_revisados.</w:t>
      </w:r>
    </w:p>
    <w:p>
      <w:pPr>
        <w:pStyle w:val="ListBullet"/>
        <w:spacing w:after="40"/>
        <w:ind w:left="227"/>
      </w:pPr>
      <w:r>
        <w:t>Camada 2 — Fontes abertas: kpi_open_data_map, api_open_data_catalog, sector_sources e sources.</w:t>
      </w:r>
    </w:p>
    <w:p>
      <w:pPr>
        <w:pStyle w:val="ListBullet"/>
        <w:spacing w:after="40"/>
        <w:ind w:left="227"/>
      </w:pPr>
      <w:r>
        <w:t>Camada 3 — Taxonomia e relacionamento: sectors, taxonomy_mapping e cvm_sector_mapping.</w:t>
      </w:r>
    </w:p>
    <w:p>
      <w:pPr>
        <w:pStyle w:val="ListBullet"/>
        <w:spacing w:after="40"/>
        <w:ind w:left="227"/>
      </w:pPr>
      <w:r>
        <w:t>Camada 4 — Documentação: README e schema.</w:t>
      </w:r>
    </w:p>
    <w:p>
      <w:pPr>
        <w:pStyle w:val="Heading1"/>
        <w:spacing w:after="80"/>
      </w:pPr>
      <w:r>
        <w:t>2. Estrutura do workbook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0"/>
              </w:rPr>
              <w:t>Aba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0"/>
              </w:rPr>
              <w:t>Linhas de dados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0"/>
              </w:rPr>
              <w:t>Colunas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0"/>
              </w:rPr>
              <w:t>Função principal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README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23 linhas de texto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Resumo executivo da versão e instruções rápidas.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kpis_all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748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33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Tabela-mestre para análise e ETL.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kpis_setoriais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714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33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Somente KPIs específicos por setor.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kpis_universais_revisados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33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KPIs aplicáveis a múltiplos setores.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kpi_open_data_map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748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Ponte KPI → melhores fontes abertas.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api_open_data_catalog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86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29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Catálogo central de APIs, downloads e portais.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sectors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33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Dicionário resumido dos setores analíticos.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taxonomy_mapping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33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Explica a taxonomia analítica adotada.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cvm_sector_mapping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53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Traduz rótulos da CVM para a taxonomia do arquivo.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sector_sources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213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Prioriza fontes abertas por setor.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sources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86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28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8"/>
              </w:rPr>
              <w:t>Registro consolidado das fontes institucionais.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schema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205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8"/>
              </w:rPr>
              <w:t>Dicionário técnico de campos.</w:t>
            </w:r>
          </w:p>
        </w:tc>
      </w:tr>
    </w:tbl>
    <w:p>
      <w:pPr>
        <w:spacing w:after="160"/>
      </w:pPr>
      <w:r>
        <w:t>Leitura prática: se você só puder usar uma aba, use kpis_all. Se quiser automatizar coleta de dados, complemente com kpi_open_data_map e api_open_data_catalog.</w:t>
      </w:r>
    </w:p>
    <w:p>
      <w:pPr>
        <w:pStyle w:val="Heading1"/>
        <w:spacing w:after="80"/>
      </w:pPr>
      <w:r>
        <w:t>3. Relações entre as abas</w:t>
      </w:r>
    </w:p>
    <w:p>
      <w:pPr>
        <w:spacing w:after="80"/>
      </w:pPr>
      <w:r>
        <w:t>As chaves abaixo são as mais importantes para joins e filtros:</w:t>
      </w:r>
    </w:p>
    <w:p>
      <w:pPr>
        <w:pStyle w:val="ListBullet"/>
        <w:spacing w:after="40"/>
        <w:ind w:left="227"/>
      </w:pPr>
      <w:r>
        <w:t>kpi_id: identificador único do KPI; liga kpis_all a kpi_open_data_map.</w:t>
      </w:r>
    </w:p>
    <w:p>
      <w:pPr>
        <w:pStyle w:val="ListBullet"/>
        <w:spacing w:after="40"/>
        <w:ind w:left="227"/>
      </w:pPr>
      <w:r>
        <w:t>source_id: identificador único da fonte; liga kpis_all, sector_sources, sources e api_open_data_catalog.</w:t>
      </w:r>
    </w:p>
    <w:p>
      <w:pPr>
        <w:pStyle w:val="ListBullet"/>
        <w:spacing w:after="40"/>
        <w:ind w:left="227"/>
      </w:pPr>
      <w:r>
        <w:t>sector / sector_slug: identificadores setoriais; ligam os KPIs à taxonomia e às fontes por setor.</w:t>
      </w:r>
    </w:p>
    <w:p>
      <w:pPr>
        <w:pStyle w:val="ListBullet"/>
        <w:spacing w:after="40"/>
        <w:ind w:left="227"/>
      </w:pPr>
      <w:r>
        <w:t>cvm_sector_label: rótulo oficial da CVM; é convertido para mapped_sector em cvm_sector_mapping.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0"/>
              </w:rPr>
              <w:t>Relação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0"/>
              </w:rPr>
              <w:t>Chave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20"/>
              </w:rPr>
              <w:t>Uso típico</w:t>
            </w:r>
          </w:p>
        </w:tc>
      </w:tr>
      <w:tr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kpis_all ↔ kpi_open_data_map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kpi_id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Encontrar as 3 melhores fontes abertas de cada KPI.</w:t>
            </w:r>
          </w:p>
        </w:tc>
      </w:tr>
      <w:tr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kpis_all ↔ sources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source_id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Voltar da métrica para a fonte de referência original.</w:t>
            </w:r>
          </w:p>
        </w:tc>
      </w:tr>
      <w:tr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sector_sources ↔ sources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source_id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Detalhar metadados de uma fonte setorial.</w:t>
            </w:r>
          </w:p>
        </w:tc>
      </w:tr>
      <w:tr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sector_sources ↔ sectors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sector_slug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9"/>
              </w:rPr>
              <w:t>Listar as fontes prioritárias de um setor.</w:t>
            </w:r>
          </w:p>
        </w:tc>
      </w:tr>
      <w:tr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cvm_sector_mapping ↔ sectors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mapped_sector / mapped_sector_slug</w:t>
            </w:r>
          </w:p>
        </w:tc>
        <w:tc>
          <w:tcPr>
            <w:tcW w:type="dxa" w:w="3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9"/>
              </w:rPr>
              <w:t>Compatibilizar nomenclatura CVM com a taxonomia analítica.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4. Abas centrais para análise</w:t>
      </w:r>
    </w:p>
    <w:p>
      <w:pPr>
        <w:pStyle w:val="Heading2"/>
        <w:spacing w:after="40"/>
      </w:pPr>
      <w:r>
        <w:t>kpis_all</w:t>
      </w:r>
    </w:p>
    <w:p>
      <w:pPr>
        <w:spacing w:after="60"/>
      </w:pPr>
      <w:r>
        <w:t>É a tabela-mestre. Mistura KPIs setoriais e universais, com atributos do setor, definição, fórmula textual, frequência, fonte principal e até 3 fontes abertas preferenciais.</w:t>
      </w:r>
    </w:p>
    <w:p>
      <w:pPr>
        <w:spacing w:after="120"/>
      </w:pPr>
      <w:r>
        <w:t>Campos mais úteis: kpi_id, scope, sector, category, kpi_name, definition_pt, formula_text, measurement_frequency, source_id, preferred_open_source_1_id.</w:t>
      </w:r>
    </w:p>
    <w:p>
      <w:pPr>
        <w:pStyle w:val="Heading2"/>
        <w:spacing w:after="40"/>
      </w:pPr>
      <w:r>
        <w:t>kpis_setoriais</w:t>
      </w:r>
    </w:p>
    <w:p>
      <w:pPr>
        <w:spacing w:after="60"/>
      </w:pPr>
      <w:r>
        <w:t>Replica o mesmo esquema de kpis_all, mas somente para KPIs específicos dos setores. É útil quando você quer excluir os universais logo na leitura.</w:t>
      </w:r>
    </w:p>
    <w:p>
      <w:pPr>
        <w:spacing w:after="120"/>
      </w:pPr>
      <w:r>
        <w:t>Campos mais úteis: kpi_id, sector, category, kpi_name, benchmark_typical_range.</w:t>
      </w:r>
    </w:p>
    <w:p>
      <w:pPr>
        <w:pStyle w:val="Heading2"/>
        <w:spacing w:after="40"/>
      </w:pPr>
      <w:r>
        <w:t>kpis_universais_revisados</w:t>
      </w:r>
    </w:p>
    <w:p>
      <w:pPr>
        <w:spacing w:after="60"/>
      </w:pPr>
      <w:r>
        <w:t>Contém os universais revisados. É a aba adequada para modelos cross-sector, scorecards corporativos e dashboards padronizados.</w:t>
      </w:r>
    </w:p>
    <w:p>
      <w:pPr>
        <w:spacing w:after="120"/>
      </w:pPr>
      <w:r>
        <w:t>Campos mais úteis: kpi_id, category, kpi_name, unit, measurement_frequency.</w:t>
      </w:r>
    </w:p>
    <w:p>
      <w:pPr>
        <w:pStyle w:val="Heading1"/>
        <w:spacing w:after="80"/>
      </w:pPr>
      <w:r>
        <w:t>5. Abas focadas em APIs e dados abertos</w:t>
      </w:r>
    </w:p>
    <w:p>
      <w:pPr>
        <w:pStyle w:val="Heading2"/>
        <w:spacing w:after="40"/>
      </w:pPr>
      <w:r>
        <w:t>kpi_open_data_map</w:t>
      </w:r>
    </w:p>
    <w:p>
      <w:pPr>
        <w:spacing w:after="60"/>
      </w:pPr>
      <w:r>
        <w:t>Mapa enxuto para uso programático. Parte do KPI e aponta, em ordem de prioridade, até 3 fontes abertas preferenciais.</w:t>
      </w:r>
    </w:p>
    <w:p>
      <w:pPr>
        <w:spacing w:after="120"/>
      </w:pPr>
      <w:r>
        <w:t>Campos mais úteis: kpi_id, preferred_open_source_1_id, preferred_open_source_1_url, preferred_open_data_notes.</w:t>
      </w:r>
    </w:p>
    <w:p>
      <w:pPr>
        <w:pStyle w:val="Heading2"/>
        <w:spacing w:after="40"/>
      </w:pPr>
      <w:r>
        <w:t>api_open_data_catalog</w:t>
      </w:r>
    </w:p>
    <w:p>
      <w:pPr>
        <w:spacing w:after="60"/>
      </w:pPr>
      <w:r>
        <w:t>É o catálogo mais rico para automação. Reúne URL aberta, URL de API ou download, tipo de acesso, formatos, necessidade de autenticação, frequência de atualização e escopo institucional.</w:t>
      </w:r>
    </w:p>
    <w:p>
      <w:pPr>
        <w:spacing w:after="120"/>
      </w:pPr>
      <w:r>
        <w:t>Campos mais úteis: source_id, institution, open_data_url, api_or_download_url, api_available, api_doc_url, api_base_url, auth_required, output_formats.</w:t>
      </w:r>
    </w:p>
    <w:p>
      <w:pPr>
        <w:pStyle w:val="Heading2"/>
        <w:spacing w:after="40"/>
      </w:pPr>
      <w:r>
        <w:t>sector_sources</w:t>
      </w:r>
    </w:p>
    <w:p>
      <w:pPr>
        <w:spacing w:after="60"/>
      </w:pPr>
      <w:r>
        <w:t>Faz a curadoria das fontes por setor. A coluna priority_rank indica prioridade relativa dentro do setor, e recommended_kpi_families ajuda a entender para quais famílias de métricas a fonte é mais útil.</w:t>
      </w:r>
    </w:p>
    <w:p>
      <w:pPr>
        <w:spacing w:after="120"/>
      </w:pPr>
      <w:r>
        <w:t>Campos mais úteis: sector_source_id, sector, priority_rank, source_id, api_available, recommended_for, recommended_kpi_families.</w:t>
      </w:r>
    </w:p>
    <w:p>
      <w:pPr>
        <w:pStyle w:val="Heading2"/>
        <w:spacing w:after="40"/>
      </w:pPr>
      <w:r>
        <w:t>sources</w:t>
      </w:r>
    </w:p>
    <w:p>
      <w:pPr>
        <w:spacing w:after="60"/>
      </w:pPr>
      <w:r>
        <w:t>É a visão consolidada das fontes, sem a ótica setorial. Pode ser usada como dicionário institucional ou tabela de apoio para joins.</w:t>
      </w:r>
    </w:p>
    <w:p>
      <w:pPr>
        <w:spacing w:after="120"/>
      </w:pPr>
      <w:r>
        <w:t>Campos mais úteis: source_id, institution, authority_scope, api_available, official_status, coverage_scope.</w:t>
      </w:r>
    </w:p>
    <w:p>
      <w:pPr>
        <w:pStyle w:val="Heading1"/>
        <w:spacing w:after="80"/>
      </w:pPr>
      <w:r>
        <w:t>6. Abas de taxonomia e compatibilização com a CVM</w:t>
      </w:r>
    </w:p>
    <w:p>
      <w:pPr>
        <w:pStyle w:val="Heading2"/>
        <w:spacing w:after="40"/>
      </w:pPr>
      <w:r>
        <w:t>sectors</w:t>
      </w:r>
    </w:p>
    <w:p>
      <w:pPr>
        <w:spacing w:after="100"/>
      </w:pPr>
      <w:r>
        <w:t>Resumo de cada setor analítico, incluindo contagem de empresas CVM associadas, quantidade de fontes, quantidade de KPIs e indicadores derivados como avg_kpis_per_company.</w:t>
      </w:r>
    </w:p>
    <w:p>
      <w:pPr>
        <w:pStyle w:val="Heading2"/>
        <w:spacing w:after="40"/>
      </w:pPr>
      <w:r>
        <w:t>taxonomy_mapping</w:t>
      </w:r>
    </w:p>
    <w:p>
      <w:pPr>
        <w:spacing w:after="100"/>
      </w:pPr>
      <w:r>
        <w:t>Explica a lógica da taxonomia adotada e a relação com a taxonomia anterior, por meio da coluna mapping_rationale.</w:t>
      </w:r>
    </w:p>
    <w:p>
      <w:pPr>
        <w:pStyle w:val="Heading2"/>
        <w:spacing w:after="40"/>
      </w:pPr>
      <w:r>
        <w:t>cvm_sector_mapping</w:t>
      </w:r>
    </w:p>
    <w:p>
      <w:pPr>
        <w:spacing w:after="100"/>
      </w:pPr>
      <w:r>
        <w:t>Ponto de entrada para compatibilização com a nomenclatura oficial da CVM. Quando você parte de um setor da CVM, esta aba indica para qual setor analítico ele deve ser mapeado.</w:t>
      </w:r>
    </w:p>
    <w:p>
      <w:pPr>
        <w:pStyle w:val="Heading1"/>
        <w:spacing w:after="80"/>
      </w:pPr>
      <w:r>
        <w:t>7. Colunas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19"/>
              </w:rPr>
              <w:t>Coluna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19"/>
              </w:rPr>
              <w:t>Onde aparece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19"/>
              </w:rPr>
              <w:t>Tipo lógico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/>
            </w:pPr>
            <w:r>
              <w:rPr>
                <w:b/>
                <w:color w:val="1F4E79"/>
                <w:sz w:val="19"/>
              </w:rPr>
              <w:t>Interpretação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kpi_id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kpis_* / kpi_open_data_map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chave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Identificador único da métrica.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scope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kpis_all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atributo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Distingue KPI setorial de KPI universal.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sector / sector_slug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várias abas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chave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Identificador textual do setor.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source_id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várias abas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chave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Identificador da fonte institucional.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formula_text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kpis_*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Fórmula conceitual do KPI, não uma fórmula de Excel.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preferred_open_source_1..3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kpis_* / kpi_open_data_map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ponte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Prioridade de fontes abertas para automatização.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api_available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sources / sector_sources / api_open_data_catalog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flag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Indica se há API ou acesso programático documentado.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api_doc_url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sources / sector_sources / api_open_data_catalog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URL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/>
            </w:pPr>
            <w:r>
              <w:rPr>
                <w:sz w:val="17"/>
              </w:rPr>
              <w:t>Link para documentação da API.</w:t>
            </w:r>
          </w:p>
        </w:tc>
      </w:tr>
      <w:tr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cvm_anchor_labels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kpis_* / sectors / taxonomy_mapping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249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7FBFE"/>
          </w:tcPr>
          <w:p>
            <w:pPr>
              <w:spacing w:before="0" w:after="0"/>
            </w:pPr>
            <w:r>
              <w:rPr>
                <w:sz w:val="17"/>
              </w:rPr>
              <w:t>Rótulos CVM usados como âncoras conceituais do setor.</w:t>
            </w:r>
          </w:p>
        </w:tc>
      </w:tr>
    </w:tbl>
    <w:p>
      <w:r>
        <w:br w:type="page"/>
      </w:r>
    </w:p>
    <w:p>
      <w:pPr>
        <w:pStyle w:val="Heading1"/>
        <w:spacing w:after="80"/>
      </w:pPr>
      <w:r>
        <w:t>8. Leitura recomendada em Python</w:t>
      </w:r>
    </w:p>
    <w:p>
      <w:pPr>
        <w:spacing w:after="60"/>
      </w:pPr>
      <w:r>
        <w:t>Fluxo mínimo para análise geral:</w:t>
      </w:r>
    </w:p>
    <w:p>
      <w:pPr>
        <w:pStyle w:val="CodeBlock"/>
      </w:pPr>
      <w:r>
        <w:t>import pandas as pd</w:t>
      </w:r>
    </w:p>
    <w:p>
      <w:pPr>
        <w:pStyle w:val="CodeBlock"/>
      </w:pPr>
      <w:r/>
    </w:p>
    <w:p>
      <w:pPr>
        <w:pStyle w:val="CodeBlock"/>
      </w:pPr>
      <w:r>
        <w:t>xls = "matriz_kpis_setores_cvm_agressiva_v3_open_data.xlsx"</w:t>
      </w:r>
    </w:p>
    <w:p>
      <w:pPr>
        <w:pStyle w:val="CodeBlock"/>
      </w:pPr>
      <w:r>
        <w:t>kpis = pd.read_excel(xls, sheet_name="kpis_all")</w:t>
      </w:r>
    </w:p>
    <w:p>
      <w:pPr>
        <w:pStyle w:val="CodeBlock"/>
      </w:pPr>
      <w:r>
        <w:t>sectors = pd.read_excel(xls, sheet_name="sectors")</w:t>
      </w:r>
    </w:p>
    <w:p>
      <w:pPr>
        <w:pStyle w:val="CodeBlock"/>
      </w:pPr>
      <w:r>
        <w:t>sources = pd.read_excel(xls, sheet_name="sources")</w:t>
      </w:r>
    </w:p>
    <w:p>
      <w:pPr>
        <w:spacing w:after="60"/>
      </w:pPr>
      <w:r>
        <w:t>Fluxo recomendado para automação de coleta:</w:t>
      </w:r>
    </w:p>
    <w:p>
      <w:pPr>
        <w:pStyle w:val="CodeBlock"/>
      </w:pPr>
      <w:r>
        <w:t>kpi_map = pd.read_excel(xls, sheet_name="kpi_open_data_map")</w:t>
      </w:r>
    </w:p>
    <w:p>
      <w:pPr>
        <w:pStyle w:val="CodeBlock"/>
      </w:pPr>
      <w:r>
        <w:t>api_catalog = pd.read_excel(xls, sheet_name="api_open_data_catalog")</w:t>
      </w:r>
    </w:p>
    <w:p>
      <w:pPr>
        <w:pStyle w:val="CodeBlock"/>
      </w:pPr>
      <w:r/>
    </w:p>
    <w:p>
      <w:pPr>
        <w:pStyle w:val="CodeBlock"/>
      </w:pPr>
      <w:r>
        <w:t>df = (kpis</w:t>
      </w:r>
    </w:p>
    <w:p>
      <w:pPr>
        <w:pStyle w:val="CodeBlock"/>
      </w:pPr>
      <w:r>
        <w:t xml:space="preserve">      .merge(kpi_map, on=["kpi_id"], how="left", suffixes=("", "_map"))</w:t>
      </w:r>
    </w:p>
    <w:p>
      <w:pPr>
        <w:pStyle w:val="CodeBlock"/>
      </w:pPr>
      <w:r>
        <w:t xml:space="preserve">      .merge(sectors[["sector","sector_slug","api_source_count"]], on="sector", how="left"))</w:t>
      </w:r>
    </w:p>
    <w:p>
      <w:pPr>
        <w:spacing w:after="80"/>
      </w:pPr>
      <w:r>
        <w:t>Exemplos de perguntas que o arquivo suporta:</w:t>
      </w:r>
    </w:p>
    <w:p>
      <w:pPr>
        <w:pStyle w:val="ListBullet"/>
        <w:spacing w:after="40"/>
        <w:ind w:left="227"/>
      </w:pPr>
      <w:r>
        <w:t>Quais KPIs existem para um setor específico?</w:t>
      </w:r>
    </w:p>
    <w:p>
      <w:pPr>
        <w:pStyle w:val="ListBullet"/>
        <w:spacing w:after="40"/>
        <w:ind w:left="227"/>
      </w:pPr>
      <w:r>
        <w:t>Quais são as melhores fontes abertas para cada KPI?</w:t>
      </w:r>
    </w:p>
    <w:p>
      <w:pPr>
        <w:pStyle w:val="ListBullet"/>
        <w:spacing w:after="40"/>
        <w:ind w:left="227"/>
      </w:pPr>
      <w:r>
        <w:t>Quais fontes têm API real e quais exigem download manual?</w:t>
      </w:r>
    </w:p>
    <w:p>
      <w:pPr>
        <w:pStyle w:val="ListBullet"/>
        <w:spacing w:after="40"/>
        <w:ind w:left="227"/>
      </w:pPr>
      <w:r>
        <w:t>Como um setor oficial da CVM é traduzido para a taxonomia analítica?</w:t>
      </w:r>
    </w:p>
    <w:p>
      <w:pPr>
        <w:pStyle w:val="ListBullet"/>
        <w:spacing w:after="40"/>
        <w:ind w:left="227"/>
      </w:pPr>
      <w:r>
        <w:t>Quais setores têm mais cobertura de fontes abertas e mais densidade de KPIs?</w:t>
      </w:r>
    </w:p>
    <w:p>
      <w:pPr>
        <w:pStyle w:val="Heading1"/>
        <w:spacing w:after="80"/>
      </w:pPr>
      <w:r>
        <w:t>9. Interpretação correta do conteúdo</w:t>
      </w:r>
    </w:p>
    <w:p>
      <w:pPr>
        <w:pStyle w:val="ListBullet"/>
        <w:spacing w:after="40"/>
        <w:ind w:left="227"/>
      </w:pPr>
      <w:r>
        <w:t>O arquivo não é uma base de valores observados de KPI; ele é um catálogo metodológico e operacional.</w:t>
      </w:r>
    </w:p>
    <w:p>
      <w:pPr>
        <w:pStyle w:val="ListBullet"/>
        <w:spacing w:after="40"/>
        <w:ind w:left="227"/>
      </w:pPr>
      <w:r>
        <w:t>formula_text descreve a lógica da métrica. Não significa que o valor esteja calculado na planilha.</w:t>
      </w:r>
    </w:p>
    <w:p>
      <w:pPr>
        <w:pStyle w:val="ListBullet"/>
        <w:spacing w:after="40"/>
        <w:ind w:left="227"/>
      </w:pPr>
      <w:r>
        <w:t>preferred_open_source_1..3 são prioridades sugeridas. Em implementação real, convém validar granularidade, frequência e cobertura geográfica.</w:t>
      </w:r>
    </w:p>
    <w:p>
      <w:pPr>
        <w:pStyle w:val="ListBullet"/>
        <w:spacing w:after="40"/>
        <w:ind w:left="227"/>
      </w:pPr>
      <w:r>
        <w:t>Nem toda fonte marcada como aberta tem API completa; algumas oferecem apenas download estruturado ou portal com consulta manual.</w:t>
      </w:r>
    </w:p>
    <w:p>
      <w:pPr>
        <w:pStyle w:val="ListBullet"/>
        <w:spacing w:after="40"/>
        <w:ind w:left="227"/>
      </w:pPr>
      <w:r>
        <w:t>A taxonomia foi aproximada da CVM, mas continua sendo analítica. Ela não substitui a classificação oficial da CVM.</w:t>
      </w:r>
    </w:p>
    <w:p>
      <w:pPr>
        <w:pStyle w:val="Heading1"/>
        <w:spacing w:after="80"/>
      </w:pPr>
      <w:r>
        <w:t>10. Limitações e cuidados</w:t>
      </w:r>
    </w:p>
    <w:p>
      <w:pPr>
        <w:pStyle w:val="ListBullet"/>
        <w:spacing w:after="40"/>
        <w:ind w:left="227"/>
      </w:pPr>
      <w:r>
        <w:t>Há setores com mais cobertura pública de dados do que outros. Isso é esperado em temas regulados como energia, telecom, finanças e saúde.</w:t>
      </w:r>
    </w:p>
    <w:p>
      <w:pPr>
        <w:pStyle w:val="ListBullet"/>
        <w:spacing w:after="40"/>
        <w:ind w:left="227"/>
      </w:pPr>
      <w:r>
        <w:t>A existência de URL aberta não garante estabilidade de endpoint ou ausência de autenticação futura.</w:t>
      </w:r>
    </w:p>
    <w:p>
      <w:pPr>
        <w:pStyle w:val="ListBullet"/>
        <w:spacing w:after="40"/>
        <w:ind w:left="227"/>
      </w:pPr>
      <w:r>
        <w:t>Algumas famílias de KPI exigem integração de múltiplas fontes, mesmo quando há uma fonte prioritária indicada.</w:t>
      </w:r>
    </w:p>
    <w:p>
      <w:pPr>
        <w:pStyle w:val="ListBullet"/>
        <w:spacing w:after="40"/>
        <w:ind w:left="227"/>
      </w:pPr>
      <w:r>
        <w:t>Mapeamentos de holdings e participações devem ser usados com cuidado, porque o setor econômico subjacente pode variar por companhia.</w:t>
      </w:r>
    </w:p>
    <w:p>
      <w:pPr>
        <w:pStyle w:val="Heading1"/>
        <w:spacing w:after="80"/>
      </w:pPr>
      <w:r>
        <w:t>11. Como expandir o arquivo no futuro</w:t>
      </w:r>
    </w:p>
    <w:p>
      <w:pPr>
        <w:pStyle w:val="ListBullet"/>
        <w:spacing w:after="40"/>
        <w:ind w:left="227"/>
      </w:pPr>
      <w:r>
        <w:t>Adicionar colunas de granularidade geográfica e periodicidade real observada por fonte.</w:t>
      </w:r>
    </w:p>
    <w:p>
      <w:pPr>
        <w:pStyle w:val="ListBullet"/>
        <w:spacing w:after="40"/>
        <w:ind w:left="227"/>
      </w:pPr>
      <w:r>
        <w:t>Separar APIs reais de meros downloads em uma taxonomia de acesso ainda mais rígida.</w:t>
      </w:r>
    </w:p>
    <w:p>
      <w:pPr>
        <w:pStyle w:val="ListBullet"/>
        <w:spacing w:after="40"/>
        <w:ind w:left="227"/>
      </w:pPr>
      <w:r>
        <w:t>Criar uma aba de endpoints normalizados para ETL, com parâmetros e exemplos de chamadas.</w:t>
      </w:r>
    </w:p>
    <w:p>
      <w:pPr>
        <w:pStyle w:val="ListBullet"/>
        <w:spacing w:after="40"/>
        <w:ind w:left="227"/>
      </w:pPr>
      <w:r>
        <w:t>Versionar o mapeamento CVM quando surgirem novos rótulos ou reclassificações.</w:t>
      </w:r>
    </w:p>
    <w:p>
      <w:pPr>
        <w:pStyle w:val="Heading1"/>
        <w:spacing w:after="80"/>
      </w:pPr>
      <w:r>
        <w:t>12. Abas de documentação</w:t>
      </w:r>
    </w:p>
    <w:p>
      <w:pPr>
        <w:spacing w:after="120"/>
      </w:pPr>
      <w:r>
        <w:t>README serve como visão executiva rápida. schema é o dicionário técnico do workbook e deve ser consultado sempre que houver dúvida sobre tipo esperado ou semântica de uma coluna.</w:t>
      </w:r>
    </w:p>
    <w:p>
      <w:pPr>
        <w:spacing w:before="240"/>
        <w:jc w:val="center"/>
      </w:pPr>
      <w:r>
        <w:rPr>
          <w:color w:val="787878"/>
          <w:sz w:val="18"/>
        </w:rPr>
        <w:t>Gerado para apoiar a leitura do workbook e seu consumo programático.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5F5F5F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83" w:righ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