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1A1A1A"/>
          <w:sz w:val="44"/>
          <w:szCs w:val="44"/>
        </w:rPr>
        <w:t xml:space="preserve">Pipeline Document</w:t>
      </w:r>
    </w:p>
    <w:p>
      <w:pPr>
        <w:spacing w:after="40" w:before="0"/>
      </w:pPr>
      <w:r>
        <w:rPr>
          <w:i/>
          <w:iCs/>
          <w:color w:val="4A4A4A"/>
          <w:sz w:val="22"/>
          <w:szCs w:val="22"/>
        </w:rPr>
        <w:t xml:space="preserve">Superstore KDD Analytics — Knowledge Discovery in Databases pipeline</w:t>
      </w:r>
    </w:p>
    <w:p>
      <w:pPr>
        <w:pBdr>
          <w:bottom w:val="single" w:color="006A4E" w:sz="6" w:space="6"/>
        </w:pBdr>
        <w:spacing w:after="240" w:before="0"/>
      </w:pPr>
      <w:r>
        <w:rPr>
          <w:color w:val="4A4A4A"/>
          <w:sz w:val="20"/>
          <w:szCs w:val="20"/>
        </w:rPr>
        <w:t xml:space="preserve">DAN614 · Data Visualization for Executives · Jad Assaf · MSDA · LAU</w:t>
      </w:r>
    </w:p>
    <w:p>
      <w:pPr>
        <w:pStyle w:val="Heading1"/>
        <w:spacing w:after="160" w:before="280"/>
      </w:pPr>
      <w:r>
        <w:rPr>
          <w:b/>
          <w:bCs/>
          <w:color w:val="1A1A1A"/>
          <w:sz w:val="32"/>
          <w:szCs w:val="32"/>
        </w:rPr>
        <w:t xml:space="preserve">1 · Overview</w:t>
      </w:r>
    </w:p>
    <w:p>
      <w:pPr>
        <w:spacing w:after="80" w:before="80"/>
        <w:jc w:val="both"/>
      </w:pPr>
      <w:r>
        <w:rPr>
          <w:sz w:val="22"/>
          <w:szCs w:val="22"/>
        </w:rPr>
        <w:t xml:space="preserve">This document describes the end-to-end Knowledge Discovery in Databases (KDD) pipeline implemented in the Streamlit application Superstore KDD Analytics. The pipeline transforms raw transactional retail data into business insights through five canonical stages — Selection, Preprocessing, Transformation, Data Mining, and Interpretation — and is built such that every stage is reproducible, auditable, and defensible end-to-end.</w:t>
      </w:r>
    </w:p>
    <w:p>
      <w:pPr>
        <w:spacing w:after="80" w:before="80"/>
        <w:jc w:val="both"/>
      </w:pPr>
      <w:r>
        <w:rPr>
          <w:sz w:val="22"/>
          <w:szCs w:val="22"/>
        </w:rPr>
        <w:t xml:space="preserve">The application enforces a single contract: regardless of whether data arrives via local file upload (Mode A) or the Google Sheets API (Mode B), it is validated against the canonical Superstore schema before entering the pipeline. From that point forward, all downstream pages — cleaning, dashboards, machine learning — operate on a single shared DataFrame held in Streamlit session state.</w:t>
      </w:r>
    </w:p>
    <w:p>
      <w:pPr>
        <w:pStyle w:val="Heading2"/>
        <w:spacing w:after="120" w:before="220"/>
      </w:pPr>
      <w:r>
        <w:rPr>
          <w:b/>
          <w:bCs/>
          <w:color w:val="006A4E"/>
          <w:sz w:val="26"/>
          <w:szCs w:val="26"/>
        </w:rPr>
        <w:t xml:space="preserve">Pipeline diagram</w:t>
      </w:r>
    </w:p>
    <w:p>
      <w:pPr>
        <w:spacing w:after="0" w:before="0"/>
      </w:pPr>
      <w:r>
        <w:rPr>
          <w:rFonts w:ascii="Consolas" w:cs="Consolas" w:eastAsia="Consolas" w:hAnsi="Consolas"/>
          <w:color w:val="4A4A4A"/>
          <w:sz w:val="14"/>
          <w:szCs w:val="14"/>
        </w:rPr>
        <w:t xml:space="preserve">┌──────────────┐    ┌──────────────┐    ┌──────────────┐    ┌──────────────┐    ┌──────────────┐</w:t>
      </w:r>
    </w:p>
    <w:p>
      <w:pPr>
        <w:spacing w:after="0" w:before="0"/>
      </w:pPr>
      <w:r>
        <w:rPr>
          <w:rFonts w:ascii="Consolas" w:cs="Consolas" w:eastAsia="Consolas" w:hAnsi="Consolas"/>
          <w:color w:val="4A4A4A"/>
          <w:sz w:val="14"/>
          <w:szCs w:val="14"/>
        </w:rPr>
        <w:t xml:space="preserve">│  SELECTION   │ →  │ PREPROCESS   │ →  │ TRANSFORM    │ →  │  DATA MINING │ →  │ INTERPRET    │</w:t>
      </w:r>
    </w:p>
    <w:p>
      <w:pPr>
        <w:spacing w:after="0" w:before="0"/>
      </w:pPr>
      <w:r>
        <w:rPr>
          <w:rFonts w:ascii="Consolas" w:cs="Consolas" w:eastAsia="Consolas" w:hAnsi="Consolas"/>
          <w:color w:val="4A4A4A"/>
          <w:sz w:val="14"/>
          <w:szCs w:val="14"/>
        </w:rPr>
        <w:t xml:space="preserve">├──────────────┤    ├──────────────┤    ├──────────────┤    ├──────────────┤    ├──────────────┤</w:t>
      </w:r>
    </w:p>
    <w:p>
      <w:pPr>
        <w:spacing w:after="0" w:before="0"/>
      </w:pPr>
      <w:r>
        <w:rPr>
          <w:rFonts w:ascii="Consolas" w:cs="Consolas" w:eastAsia="Consolas" w:hAnsi="Consolas"/>
          <w:color w:val="4A4A4A"/>
          <w:sz w:val="14"/>
          <w:szCs w:val="14"/>
        </w:rPr>
        <w:t xml:space="preserve">│ Mode A: file │    │ Imputation   │    │ Date features│    │ Regression   │    │ Dashboards   │</w:t>
      </w:r>
    </w:p>
    <w:p>
      <w:pPr>
        <w:spacing w:after="0" w:before="0"/>
      </w:pPr>
      <w:r>
        <w:rPr>
          <w:rFonts w:ascii="Consolas" w:cs="Consolas" w:eastAsia="Consolas" w:hAnsi="Consolas"/>
          <w:color w:val="4A4A4A"/>
          <w:sz w:val="14"/>
          <w:szCs w:val="14"/>
        </w:rPr>
        <w:t xml:space="preserve">│ Mode B: API  │    │ Outliers     │    │ Std categs   │    │ Classifier   │    │ Insights     │</w:t>
      </w:r>
    </w:p>
    <w:p>
      <w:pPr>
        <w:spacing w:after="0" w:before="0"/>
      </w:pPr>
      <w:r>
        <w:rPr>
          <w:rFonts w:ascii="Consolas" w:cs="Consolas" w:eastAsia="Consolas" w:hAnsi="Consolas"/>
          <w:color w:val="4A4A4A"/>
          <w:sz w:val="14"/>
          <w:szCs w:val="14"/>
        </w:rPr>
        <w:t xml:space="preserve">│ Schema valid │    │ Format check │    │ RFM aggreg   │    │ K-Means      │    │ Forecasts    │</w:t>
      </w:r>
    </w:p>
    <w:p>
      <w:pPr>
        <w:spacing w:after="0" w:before="0"/>
      </w:pPr>
      <w:r>
        <w:rPr>
          <w:rFonts w:ascii="Consolas" w:cs="Consolas" w:eastAsia="Consolas" w:hAnsi="Consolas"/>
          <w:color w:val="4A4A4A"/>
          <w:sz w:val="14"/>
          <w:szCs w:val="14"/>
        </w:rPr>
        <w:t xml:space="preserve">│ 9,994 rows   │    │ Bonus dates  │    │ Profit Margin│    │ SARIMA       │    │ KPI cards    │</w:t>
      </w:r>
    </w:p>
    <w:p>
      <w:pPr>
        <w:spacing w:after="0" w:before="0"/>
      </w:pPr>
      <w:r>
        <w:rPr>
          <w:rFonts w:ascii="Consolas" w:cs="Consolas" w:eastAsia="Consolas" w:hAnsi="Consolas"/>
          <w:color w:val="4A4A4A"/>
          <w:sz w:val="14"/>
          <w:szCs w:val="14"/>
        </w:rPr>
        <w:t xml:space="preserve">└──────────────┘    └──────────────┘    └──────────────┘    └──────────────┘    └──────────────┘</w:t>
      </w:r>
    </w:p>
    <w:p>
      <w:pPr>
        <w:spacing w:after="100" w:before="100"/>
      </w:pPr>
      <w:r>
        <w:t xml:space="preserve"> </w:t>
      </w:r>
    </w:p>
    <w:p>
      <w:pPr>
        <w:pStyle w:val="Heading1"/>
        <w:spacing w:after="160" w:before="280"/>
      </w:pPr>
      <w:r>
        <w:rPr>
          <w:b/>
          <w:bCs/>
          <w:color w:val="1A1A1A"/>
          <w:sz w:val="32"/>
          <w:szCs w:val="32"/>
        </w:rPr>
        <w:t xml:space="preserve">2 · Stage 1 — Selection (Data Collection)</w:t>
      </w:r>
    </w:p>
    <w:p>
      <w:pPr>
        <w:spacing w:after="80" w:before="80"/>
        <w:jc w:val="both"/>
      </w:pPr>
      <w:r>
        <w:rPr>
          <w:sz w:val="22"/>
          <w:szCs w:val="22"/>
        </w:rPr>
        <w:t xml:space="preserve">The pipeline supports two data-source modes, both of which feed validated data into the same downstream code path. No file paths are hardcoded in the application; every input flows through a runtime validator.</w:t>
      </w:r>
    </w:p>
    <w:p>
      <w:pPr>
        <w:pStyle w:val="Heading3"/>
        <w:spacing w:after="80" w:before="160"/>
      </w:pPr>
      <w:r>
        <w:rPr>
          <w:b/>
          <w:bCs/>
          <w:color w:val="1A1A1A"/>
          <w:sz w:val="22"/>
          <w:szCs w:val="22"/>
        </w:rPr>
        <w:t xml:space="preserve">Mode A — Local file upload</w:t>
      </w:r>
    </w:p>
    <w:p>
      <w:pPr>
        <w:pStyle w:val="ListParagraph"/>
        <w:numPr>
          <w:ilvl w:val="0"/>
          <w:numId w:val="2"/>
        </w:numPr>
        <w:spacing w:after="40" w:before="40"/>
      </w:pPr>
      <w:r>
        <w:rPr>
          <w:sz w:val="22"/>
          <w:szCs w:val="22"/>
        </w:rPr>
        <w:t xml:space="preserve">Streamlit file_uploader accepts .xls, .xlsx, .csv inputs.</w:t>
      </w:r>
    </w:p>
    <w:p>
      <w:pPr>
        <w:pStyle w:val="ListParagraph"/>
        <w:numPr>
          <w:ilvl w:val="0"/>
          <w:numId w:val="2"/>
        </w:numPr>
        <w:spacing w:after="40" w:before="40"/>
      </w:pPr>
      <w:r>
        <w:rPr>
          <w:sz w:val="22"/>
          <w:szCs w:val="22"/>
        </w:rPr>
        <w:t xml:space="preserve">Excel files allow user to specify which sheet to load (defaults to Orders).</w:t>
      </w:r>
    </w:p>
    <w:p>
      <w:pPr>
        <w:pStyle w:val="ListParagraph"/>
        <w:numPr>
          <w:ilvl w:val="0"/>
          <w:numId w:val="2"/>
        </w:numPr>
        <w:spacing w:after="40" w:before="40"/>
      </w:pPr>
      <w:r>
        <w:rPr>
          <w:sz w:val="22"/>
          <w:szCs w:val="22"/>
        </w:rPr>
        <w:t xml:space="preserve">On upload, columns are normalised (whitespace stripped, common aliases mapped) and types coerced to the canonical schema.</w:t>
      </w:r>
    </w:p>
    <w:p>
      <w:pPr>
        <w:pStyle w:val="ListParagraph"/>
        <w:numPr>
          <w:ilvl w:val="0"/>
          <w:numId w:val="2"/>
        </w:numPr>
        <w:spacing w:after="40" w:before="40"/>
      </w:pPr>
      <w:r>
        <w:rPr>
          <w:sz w:val="22"/>
          <w:szCs w:val="22"/>
        </w:rPr>
        <w:t xml:space="preserve">If schema validation fails, a clear st.error is shown listing the missing columns.</w:t>
      </w:r>
    </w:p>
    <w:p>
      <w:pPr>
        <w:pStyle w:val="ListParagraph"/>
        <w:numPr>
          <w:ilvl w:val="0"/>
          <w:numId w:val="2"/>
        </w:numPr>
        <w:spacing w:after="40" w:before="40"/>
      </w:pPr>
      <w:r>
        <w:rPr>
          <w:sz w:val="22"/>
          <w:szCs w:val="22"/>
        </w:rPr>
        <w:t xml:space="preserve">On success, a preview of the first 10 rows is rendered along with a validation report (row count, type-coercion issues, warnings).</w:t>
      </w:r>
    </w:p>
    <w:p>
      <w:pPr>
        <w:pStyle w:val="Heading3"/>
        <w:spacing w:after="80" w:before="160"/>
      </w:pPr>
      <w:r>
        <w:rPr>
          <w:b/>
          <w:bCs/>
          <w:color w:val="1A1A1A"/>
          <w:sz w:val="22"/>
          <w:szCs w:val="22"/>
        </w:rPr>
        <w:t xml:space="preserve">Mode B — Google Sheets via service account</w:t>
      </w:r>
    </w:p>
    <w:p>
      <w:pPr>
        <w:pStyle w:val="ListParagraph"/>
        <w:numPr>
          <w:ilvl w:val="0"/>
          <w:numId w:val="2"/>
        </w:numPr>
        <w:spacing w:after="40" w:before="40"/>
      </w:pPr>
      <w:r>
        <w:rPr>
          <w:sz w:val="22"/>
          <w:szCs w:val="22"/>
        </w:rPr>
        <w:t xml:space="preserve">User uploads a JSON service-account key (held in memory only — never written to disk).</w:t>
      </w:r>
    </w:p>
    <w:p>
      <w:pPr>
        <w:pStyle w:val="ListParagraph"/>
        <w:numPr>
          <w:ilvl w:val="0"/>
          <w:numId w:val="2"/>
        </w:numPr>
        <w:spacing w:after="40" w:before="40"/>
      </w:pPr>
      <w:r>
        <w:rPr>
          <w:sz w:val="22"/>
          <w:szCs w:val="22"/>
        </w:rPr>
        <w:t xml:space="preserve">User pastes the sheet URL or ID; the worksheet picker is populated automatically.</w:t>
      </w:r>
    </w:p>
    <w:p>
      <w:pPr>
        <w:pStyle w:val="ListParagraph"/>
        <w:numPr>
          <w:ilvl w:val="0"/>
          <w:numId w:val="2"/>
        </w:numPr>
        <w:spacing w:after="40" w:before="40"/>
      </w:pPr>
      <w:r>
        <w:rPr>
          <w:sz w:val="22"/>
          <w:szCs w:val="22"/>
        </w:rPr>
        <w:t xml:space="preserve">gspread + google-auth load the chosen worksheet into a pandas DataFrame.</w:t>
      </w:r>
    </w:p>
    <w:p>
      <w:pPr>
        <w:pStyle w:val="ListParagraph"/>
        <w:numPr>
          <w:ilvl w:val="0"/>
          <w:numId w:val="2"/>
        </w:numPr>
        <w:spacing w:after="40" w:before="40"/>
      </w:pPr>
      <w:r>
        <w:rPr>
          <w:sz w:val="22"/>
          <w:szCs w:val="22"/>
        </w:rPr>
        <w:t xml:space="preserve">Sheet metadata (title, worksheet, row count, last update timestamp) is displayed in a sidebar info box, satisfying the brief’s explicit requirement.</w:t>
      </w:r>
    </w:p>
    <w:p>
      <w:pPr>
        <w:pStyle w:val="ListParagraph"/>
        <w:numPr>
          <w:ilvl w:val="0"/>
          <w:numId w:val="2"/>
        </w:numPr>
        <w:spacing w:after="40" w:before="40"/>
      </w:pPr>
      <w:r>
        <w:rPr>
          <w:sz w:val="22"/>
          <w:szCs w:val="22"/>
        </w:rPr>
        <w:t xml:space="preserve">After loading, identical normalisation and validation are applied — Mode B is functionally indistinguishable from Mode A downstream.</w:t>
      </w:r>
    </w:p>
    <w:p>
      <w:pPr>
        <w:pStyle w:val="Heading3"/>
        <w:spacing w:after="80" w:before="160"/>
      </w:pPr>
      <w:r>
        <w:rPr>
          <w:b/>
          <w:bCs/>
          <w:color w:val="1A1A1A"/>
          <w:sz w:val="22"/>
          <w:szCs w:val="22"/>
        </w:rPr>
        <w:t xml:space="preserve">Schema validation</w:t>
      </w:r>
    </w:p>
    <w:p>
      <w:pPr>
        <w:spacing w:after="80" w:before="80"/>
        <w:jc w:val="both"/>
      </w:pPr>
      <w:r>
        <w:rPr>
          <w:sz w:val="22"/>
          <w:szCs w:val="22"/>
        </w:rPr>
        <w:t xml:space="preserve">The validator (utils/schema.py) checks four conditions:</w:t>
      </w:r>
    </w:p>
    <w:p>
      <w:pPr>
        <w:pStyle w:val="ListParagraph"/>
        <w:numPr>
          <w:ilvl w:val="0"/>
          <w:numId w:val="2"/>
        </w:numPr>
        <w:spacing w:after="40" w:before="40"/>
      </w:pPr>
      <w:r>
        <w:rPr>
          <w:sz w:val="22"/>
          <w:szCs w:val="22"/>
        </w:rPr>
        <w:t xml:space="preserve">All 20 required columns are present (Row ID, Order ID, Order Date, …, Total Profit).</w:t>
      </w:r>
    </w:p>
    <w:p>
      <w:pPr>
        <w:pStyle w:val="ListParagraph"/>
        <w:numPr>
          <w:ilvl w:val="0"/>
          <w:numId w:val="2"/>
        </w:numPr>
        <w:spacing w:after="40" w:before="40"/>
      </w:pPr>
      <w:r>
        <w:rPr>
          <w:sz w:val="22"/>
          <w:szCs w:val="22"/>
        </w:rPr>
        <w:t xml:space="preserve">Each column is coerciable to its declared type (datetime, numeric, integer, string).</w:t>
      </w:r>
    </w:p>
    <w:p>
      <w:pPr>
        <w:pStyle w:val="ListParagraph"/>
        <w:numPr>
          <w:ilvl w:val="0"/>
          <w:numId w:val="2"/>
        </w:numPr>
        <w:spacing w:after="40" w:before="40"/>
      </w:pPr>
      <w:r>
        <w:rPr>
          <w:sz w:val="22"/>
          <w:szCs w:val="22"/>
        </w:rPr>
        <w:t xml:space="preserve">Categorical fields contain only expected values (Region ∈ {Central, East, South, West}; Segment ∈ {Consumer, Corporate, Home Office}; Category ∈ {Furniture, Office Supplies, Technology}).</w:t>
      </w:r>
    </w:p>
    <w:p>
      <w:pPr>
        <w:pStyle w:val="ListParagraph"/>
        <w:numPr>
          <w:ilvl w:val="0"/>
          <w:numId w:val="2"/>
        </w:numPr>
        <w:spacing w:after="40" w:before="40"/>
      </w:pPr>
      <w:r>
        <w:rPr>
          <w:sz w:val="22"/>
          <w:szCs w:val="22"/>
        </w:rPr>
        <w:t xml:space="preserve">Cross-column sanity: Ship Date ≥ Order Date; Total Revenue ≥ 0.</w:t>
      </w:r>
    </w:p>
    <w:p>
      <w:pPr>
        <w:pStyle w:val="Heading1"/>
        <w:spacing w:after="160" w:before="280"/>
      </w:pPr>
      <w:r>
        <w:rPr>
          <w:b/>
          <w:bCs/>
          <w:color w:val="1A1A1A"/>
          <w:sz w:val="32"/>
          <w:szCs w:val="32"/>
        </w:rPr>
        <w:t xml:space="preserve">3 · Stage 2 — Preprocessing (Cleaning)</w:t>
      </w:r>
    </w:p>
    <w:p>
      <w:pPr>
        <w:spacing w:after="80" w:before="80"/>
        <w:jc w:val="both"/>
      </w:pPr>
      <w:r>
        <w:rPr>
          <w:sz w:val="22"/>
          <w:szCs w:val="22"/>
        </w:rPr>
        <w:t xml:space="preserve">Five distinct cleaning measures are exposed to the user. Each is parameterised, each logs the operation it performs to a session-level cleaning log, and each updates the active DataFrame in place. The user can reset to the raw upload at any time.</w:t>
      </w:r>
    </w:p>
    <w:p>
      <w:pPr>
        <w:pStyle w:val="Heading3"/>
        <w:spacing w:after="80" w:before="160"/>
      </w:pPr>
      <w:r>
        <w:rPr>
          <w:b/>
          <w:bCs/>
          <w:color w:val="1A1A1A"/>
          <w:sz w:val="22"/>
          <w:szCs w:val="22"/>
        </w:rPr>
        <w:t xml:space="preserve">Measure 1 — Missing-value imputation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D1D5DB" w:sz="4"/>
              <w:left w:val="single" w:color="D1D5DB" w:sz="4"/>
              <w:bottom w:val="single" w:color="D1D5DB" w:sz="4"/>
              <w:right w:val="single" w:color="D1D5DB" w:sz="4"/>
            </w:tcBorders>
            <w:shd w:fill="F0F7F4" w:val="clear"/>
            <w:tcMar>
              <w:top w:type="dxa" w:w="100"/>
              <w:left w:type="dxa" w:w="140"/>
              <w:bottom w:type="dxa" w:w="100"/>
              <w:right w:type="dxa" w:w="140"/>
            </w:tcMar>
          </w:tcPr>
          <w:p>
            <w:pPr>
              <w:spacing w:after="0" w:before="0"/>
            </w:pPr>
            <w:r>
              <w:rPr>
                <w:b/>
                <w:bCs/>
                <w:color w:val="006A4E"/>
                <w:sz w:val="21"/>
                <w:szCs w:val="21"/>
              </w:rPr>
              <w:t xml:space="preserve">Strategy</w:t>
            </w:r>
          </w:p>
        </w:tc>
        <w:tc>
          <w:tcPr>
            <w:tcW w:type="dxa" w:w="3360"/>
            <w:tcBorders>
              <w:top w:val="single" w:color="D1D5DB" w:sz="4"/>
              <w:left w:val="single" w:color="D1D5DB" w:sz="4"/>
              <w:bottom w:val="single" w:color="D1D5DB" w:sz="4"/>
              <w:right w:val="single" w:color="D1D5DB" w:sz="4"/>
            </w:tcBorders>
            <w:shd w:fill="F0F7F4" w:val="clear"/>
            <w:tcMar>
              <w:top w:type="dxa" w:w="100"/>
              <w:left w:type="dxa" w:w="140"/>
              <w:bottom w:type="dxa" w:w="100"/>
              <w:right w:type="dxa" w:w="140"/>
            </w:tcMar>
          </w:tcPr>
          <w:p>
            <w:pPr>
              <w:spacing w:after="0" w:before="0"/>
            </w:pPr>
            <w:r>
              <w:rPr>
                <w:b/>
                <w:bCs/>
                <w:color w:val="006A4E"/>
                <w:sz w:val="21"/>
                <w:szCs w:val="21"/>
              </w:rPr>
              <w:t xml:space="preserve">Applies to</w:t>
            </w:r>
          </w:p>
        </w:tc>
        <w:tc>
          <w:tcPr>
            <w:tcW w:type="dxa" w:w="3800"/>
            <w:tcBorders>
              <w:top w:val="single" w:color="D1D5DB" w:sz="4"/>
              <w:left w:val="single" w:color="D1D5DB" w:sz="4"/>
              <w:bottom w:val="single" w:color="D1D5DB" w:sz="4"/>
              <w:right w:val="single" w:color="D1D5DB" w:sz="4"/>
            </w:tcBorders>
            <w:shd w:fill="F0F7F4" w:val="clear"/>
            <w:tcMar>
              <w:top w:type="dxa" w:w="100"/>
              <w:left w:type="dxa" w:w="140"/>
              <w:bottom w:type="dxa" w:w="100"/>
              <w:right w:type="dxa" w:w="140"/>
            </w:tcMar>
          </w:tcPr>
          <w:p>
            <w:pPr>
              <w:spacing w:after="0" w:before="0"/>
            </w:pPr>
            <w:r>
              <w:rPr>
                <w:b/>
                <w:bCs/>
                <w:color w:val="006A4E"/>
                <w:sz w:val="21"/>
                <w:szCs w:val="21"/>
              </w:rPr>
              <w:t xml:space="preserve">Mechanism</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median</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numeric columns</w:t>
            </w:r>
          </w:p>
        </w:tc>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pandas .fillna(median())</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mean</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numeric columns</w:t>
            </w:r>
          </w:p>
        </w:tc>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pandas .fillna(mean())</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mode</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any column</w:t>
            </w:r>
          </w:p>
        </w:tc>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pandas .fillna(mode().iloc[0])</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MICE</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all numeric columns</w:t>
            </w:r>
          </w:p>
        </w:tc>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sklearn IterativeImputer (5 iters)</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zero</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numeric columns</w:t>
            </w:r>
          </w:p>
        </w:tc>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fill with 0</w:t>
            </w:r>
          </w:p>
        </w:tc>
      </w:tr>
      <w:tr>
        <w:tc>
          <w:tcPr>
            <w:tcW w:type="dxa" w:w="22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drop</w:t>
            </w:r>
          </w:p>
        </w:tc>
        <w:tc>
          <w:tcPr>
            <w:tcW w:type="dxa" w:w="33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any column</w:t>
            </w:r>
          </w:p>
        </w:tc>
        <w:tc>
          <w:tcPr>
            <w:tcW w:type="dxa" w:w="3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drop rows with NaN in selection</w:t>
            </w:r>
          </w:p>
        </w:tc>
      </w:tr>
    </w:tbl>
    <w:p>
      <w:pPr>
        <w:pStyle w:val="Heading3"/>
        <w:spacing w:after="80" w:before="160"/>
      </w:pPr>
      <w:r>
        <w:rPr>
          <w:b/>
          <w:bCs/>
          <w:color w:val="1A1A1A"/>
          <w:sz w:val="22"/>
          <w:szCs w:val="22"/>
        </w:rPr>
        <w:t xml:space="preserve">Measure 2 — Outlier detection &amp; handling</w:t>
      </w:r>
    </w:p>
    <w:p>
      <w:pPr>
        <w:spacing w:after="80" w:before="80"/>
        <w:jc w:val="both"/>
      </w:pPr>
      <w:r>
        <w:rPr>
          <w:sz w:val="22"/>
          <w:szCs w:val="22"/>
        </w:rPr>
        <w:t xml:space="preserve">Outliers are detected via either the IQR rule (Q1 − k·IQR, Q3 + k·IQR with k user-tunable from 1.0 to 3.0) or by Z-score (threshold tunable 2.0 to 4.0). The user chooses one of three handling actions:</w:t>
      </w:r>
    </w:p>
    <w:p>
      <w:pPr>
        <w:pStyle w:val="ListParagraph"/>
        <w:numPr>
          <w:ilvl w:val="0"/>
          <w:numId w:val="2"/>
        </w:numPr>
        <w:spacing w:after="40" w:before="40"/>
      </w:pPr>
      <w:r>
        <w:rPr>
          <w:b/>
          <w:bCs/>
          <w:sz w:val="22"/>
          <w:szCs w:val="22"/>
        </w:rPr>
        <w:t xml:space="preserve">flag: </w:t>
      </w:r>
      <w:r>
        <w:rPr>
          <w:sz w:val="22"/>
          <w:szCs w:val="22"/>
        </w:rPr>
        <w:t xml:space="preserve">adds a boolean is_outlier column without modifying values</w:t>
      </w:r>
    </w:p>
    <w:p>
      <w:pPr>
        <w:pStyle w:val="ListParagraph"/>
        <w:numPr>
          <w:ilvl w:val="0"/>
          <w:numId w:val="2"/>
        </w:numPr>
        <w:spacing w:after="40" w:before="40"/>
      </w:pPr>
      <w:r>
        <w:rPr>
          <w:b/>
          <w:bCs/>
          <w:sz w:val="22"/>
          <w:szCs w:val="22"/>
        </w:rPr>
        <w:t xml:space="preserve">cap: </w:t>
      </w:r>
      <w:r>
        <w:rPr>
          <w:sz w:val="22"/>
          <w:szCs w:val="22"/>
        </w:rPr>
        <w:t xml:space="preserve">winsorises at the 1st and 99th percentiles</w:t>
      </w:r>
    </w:p>
    <w:p>
      <w:pPr>
        <w:pStyle w:val="ListParagraph"/>
        <w:numPr>
          <w:ilvl w:val="0"/>
          <w:numId w:val="2"/>
        </w:numPr>
        <w:spacing w:after="40" w:before="40"/>
      </w:pPr>
      <w:r>
        <w:rPr>
          <w:b/>
          <w:bCs/>
          <w:sz w:val="22"/>
          <w:szCs w:val="22"/>
        </w:rPr>
        <w:t xml:space="preserve">remove: </w:t>
      </w:r>
      <w:r>
        <w:rPr>
          <w:sz w:val="22"/>
          <w:szCs w:val="22"/>
        </w:rPr>
        <w:t xml:space="preserve">drops outlier rows entirely</w:t>
      </w:r>
    </w:p>
    <w:p>
      <w:pPr>
        <w:spacing w:after="80" w:before="80"/>
        <w:jc w:val="both"/>
      </w:pPr>
      <w:r>
        <w:rPr>
          <w:sz w:val="22"/>
          <w:szCs w:val="22"/>
        </w:rPr>
        <w:t xml:space="preserve">Before/after distribution histograms are rendered side-by-side so the impact of the operation is visible. The exact bounds and number of affected rows are surfaced as KPI scorecards above the charts.</w:t>
      </w:r>
    </w:p>
    <w:p>
      <w:pPr>
        <w:pStyle w:val="Heading3"/>
        <w:spacing w:after="80" w:before="160"/>
      </w:pPr>
      <w:r>
        <w:rPr>
          <w:b/>
          <w:bCs/>
          <w:color w:val="1A1A1A"/>
          <w:sz w:val="22"/>
          <w:szCs w:val="22"/>
        </w:rPr>
        <w:t xml:space="preserve">Measure 3 — Format validation</w:t>
      </w:r>
    </w:p>
    <w:p>
      <w:pPr>
        <w:spacing w:after="80" w:before="80"/>
        <w:jc w:val="both"/>
      </w:pPr>
      <w:r>
        <w:rPr>
          <w:sz w:val="22"/>
          <w:szCs w:val="22"/>
        </w:rPr>
        <w:t xml:space="preserve">Five checks run automatically:</w:t>
      </w:r>
    </w:p>
    <w:p>
      <w:pPr>
        <w:pStyle w:val="ListParagraph"/>
        <w:numPr>
          <w:ilvl w:val="0"/>
          <w:numId w:val="2"/>
        </w:numPr>
        <w:spacing w:after="40" w:before="40"/>
      </w:pPr>
      <w:r>
        <w:rPr>
          <w:sz w:val="22"/>
          <w:szCs w:val="22"/>
        </w:rPr>
        <w:t xml:space="preserve">Postal Code coercible to numeric</w:t>
      </w:r>
    </w:p>
    <w:p>
      <w:pPr>
        <w:pStyle w:val="ListParagraph"/>
        <w:numPr>
          <w:ilvl w:val="0"/>
          <w:numId w:val="2"/>
        </w:numPr>
        <w:spacing w:after="40" w:before="40"/>
      </w:pPr>
      <w:r>
        <w:rPr>
          <w:sz w:val="22"/>
          <w:szCs w:val="22"/>
        </w:rPr>
        <w:t xml:space="preserve">Order Date is a valid date</w:t>
      </w:r>
    </w:p>
    <w:p>
      <w:pPr>
        <w:pStyle w:val="ListParagraph"/>
        <w:numPr>
          <w:ilvl w:val="0"/>
          <w:numId w:val="2"/>
        </w:numPr>
        <w:spacing w:after="40" w:before="40"/>
      </w:pPr>
      <w:r>
        <w:rPr>
          <w:sz w:val="22"/>
          <w:szCs w:val="22"/>
        </w:rPr>
        <w:t xml:space="preserve">Ship Date is a valid date</w:t>
      </w:r>
    </w:p>
    <w:p>
      <w:pPr>
        <w:pStyle w:val="ListParagraph"/>
        <w:numPr>
          <w:ilvl w:val="0"/>
          <w:numId w:val="2"/>
        </w:numPr>
        <w:spacing w:after="40" w:before="40"/>
      </w:pPr>
      <w:r>
        <w:rPr>
          <w:sz w:val="22"/>
          <w:szCs w:val="22"/>
        </w:rPr>
        <w:t xml:space="preserve">Ship Date is on or after Order Date</w:t>
      </w:r>
    </w:p>
    <w:p>
      <w:pPr>
        <w:pStyle w:val="ListParagraph"/>
        <w:numPr>
          <w:ilvl w:val="0"/>
          <w:numId w:val="2"/>
        </w:numPr>
        <w:spacing w:after="40" w:before="40"/>
      </w:pPr>
      <w:r>
        <w:rPr>
          <w:sz w:val="22"/>
          <w:szCs w:val="22"/>
        </w:rPr>
        <w:t xml:space="preserve">Quantity is a positive integer</w:t>
      </w:r>
    </w:p>
    <w:p>
      <w:pPr>
        <w:spacing w:after="80" w:before="80"/>
        <w:jc w:val="both"/>
      </w:pPr>
      <w:r>
        <w:rPr>
          <w:sz w:val="22"/>
          <w:szCs w:val="22"/>
        </w:rPr>
        <w:t xml:space="preserve">The user can apply automatic fixes (date parsing, postal code coercion, removal of non-positive quantities) with a single click.</w:t>
      </w:r>
    </w:p>
    <w:p>
      <w:pPr>
        <w:pStyle w:val="Heading3"/>
        <w:spacing w:after="80" w:before="160"/>
      </w:pPr>
      <w:r>
        <w:rPr>
          <w:b/>
          <w:bCs/>
          <w:color w:val="1A1A1A"/>
          <w:sz w:val="22"/>
          <w:szCs w:val="22"/>
        </w:rPr>
        <w:t xml:space="preserve">Measure 4 (bonus) — Date feature engineering</w:t>
      </w:r>
    </w:p>
    <w:p>
      <w:pPr>
        <w:spacing w:after="80" w:before="80"/>
        <w:jc w:val="both"/>
      </w:pPr>
      <w:r>
        <w:rPr>
          <w:sz w:val="22"/>
          <w:szCs w:val="22"/>
        </w:rPr>
        <w:t xml:space="preserve">Adds Year, Quarter, Month, Weekday, Shipping Days, and Profit Margin (= Profit ÷ Revenue) columns. Required for the dashboards and the SARIMA forecasting model.</w:t>
      </w:r>
    </w:p>
    <w:p>
      <w:pPr>
        <w:pStyle w:val="Heading3"/>
        <w:spacing w:after="80" w:before="160"/>
      </w:pPr>
      <w:r>
        <w:rPr>
          <w:b/>
          <w:bCs/>
          <w:color w:val="1A1A1A"/>
          <w:sz w:val="22"/>
          <w:szCs w:val="22"/>
        </w:rPr>
        <w:t xml:space="preserve">Measure 5 (bonus) — Category standardisation</w:t>
      </w:r>
    </w:p>
    <w:p>
      <w:pPr>
        <w:spacing w:after="80" w:before="80"/>
        <w:jc w:val="both"/>
      </w:pPr>
      <w:r>
        <w:rPr>
          <w:sz w:val="22"/>
          <w:szCs w:val="22"/>
        </w:rPr>
        <w:t xml:space="preserve">Trims whitespace and normalises text in categorical columns to prevent silent duplicates such as “West” vs “ West ” being counted separately. Reports before/after distinct-value counts.</w:t>
      </w:r>
    </w:p>
    <w:p>
      <w:pPr>
        <w:pStyle w:val="Heading1"/>
        <w:spacing w:after="160" w:before="280"/>
      </w:pPr>
      <w:r>
        <w:rPr>
          <w:b/>
          <w:bCs/>
          <w:color w:val="1A1A1A"/>
          <w:sz w:val="32"/>
          <w:szCs w:val="32"/>
        </w:rPr>
        <w:t xml:space="preserve">4 · Stage 3 — Transformation</w:t>
      </w:r>
    </w:p>
    <w:p>
      <w:pPr>
        <w:spacing w:after="80" w:before="80"/>
        <w:jc w:val="both"/>
      </w:pPr>
      <w:r>
        <w:rPr>
          <w:sz w:val="22"/>
          <w:szCs w:val="22"/>
        </w:rPr>
        <w:t xml:space="preserve">Beyond the cleaning measures above, the application performs three data transformations to prepare the data for analysis and modelling:</w:t>
      </w:r>
    </w:p>
    <w:p>
      <w:pPr>
        <w:pStyle w:val="ListParagraph"/>
        <w:numPr>
          <w:ilvl w:val="0"/>
          <w:numId w:val="2"/>
        </w:numPr>
        <w:spacing w:after="40" w:before="40"/>
      </w:pPr>
      <w:r>
        <w:rPr>
          <w:b/>
          <w:bCs/>
          <w:sz w:val="22"/>
          <w:szCs w:val="22"/>
        </w:rPr>
        <w:t xml:space="preserve">Date decomposition: </w:t>
      </w:r>
      <w:r>
        <w:rPr>
          <w:sz w:val="22"/>
          <w:szCs w:val="22"/>
        </w:rPr>
        <w:t xml:space="preserve">Order Date is decomposed into Year / Quarter / Month / Weekday for use in time-based filters and aggregations.</w:t>
      </w:r>
    </w:p>
    <w:p>
      <w:pPr>
        <w:pStyle w:val="ListParagraph"/>
        <w:numPr>
          <w:ilvl w:val="0"/>
          <w:numId w:val="2"/>
        </w:numPr>
        <w:spacing w:after="40" w:before="40"/>
      </w:pPr>
      <w:r>
        <w:rPr>
          <w:b/>
          <w:bCs/>
          <w:sz w:val="22"/>
          <w:szCs w:val="22"/>
        </w:rPr>
        <w:t xml:space="preserve">Margin computation: </w:t>
      </w:r>
      <w:r>
        <w:rPr>
          <w:sz w:val="22"/>
          <w:szCs w:val="22"/>
        </w:rPr>
        <w:t xml:space="preserve">Profit Margin (Total Profit ÷ Total Revenue) is computed as a normalised target for the regression model — see Stage 4 for the rationale.</w:t>
      </w:r>
    </w:p>
    <w:p>
      <w:pPr>
        <w:pStyle w:val="ListParagraph"/>
        <w:numPr>
          <w:ilvl w:val="0"/>
          <w:numId w:val="2"/>
        </w:numPr>
        <w:spacing w:after="40" w:before="40"/>
      </w:pPr>
      <w:r>
        <w:rPr>
          <w:b/>
          <w:bCs/>
          <w:sz w:val="22"/>
          <w:szCs w:val="22"/>
        </w:rPr>
        <w:t xml:space="preserve">RFM aggregation: </w:t>
      </w:r>
      <w:r>
        <w:rPr>
          <w:sz w:val="22"/>
          <w:szCs w:val="22"/>
        </w:rPr>
        <w:t xml:space="preserve">For customer segmentation, the transactional table is rolled up to one row per customer with Recency (days since last order), Frequency (distinct orders), and Monetary (total revenue) features.</w:t>
      </w:r>
    </w:p>
    <w:p>
      <w:pPr>
        <w:spacing w:after="80" w:before="80"/>
        <w:jc w:val="both"/>
      </w:pPr>
      <w:r>
        <w:rPr>
          <w:sz w:val="22"/>
          <w:szCs w:val="22"/>
        </w:rPr>
        <w:t xml:space="preserve">Numeric features are standardised (zero mean, unit variance) and categorical features are one-hot encoded inside scikit-learn pipelines. This means the entire transformation is encapsulated alongside each estimator — so cross-validation does not leak statistics from the validation fold into the training fold.</w:t>
      </w:r>
    </w:p>
    <w:p>
      <w:pPr>
        <w:pStyle w:val="Heading1"/>
        <w:spacing w:after="160" w:before="280"/>
      </w:pPr>
      <w:r>
        <w:rPr>
          <w:b/>
          <w:bCs/>
          <w:color w:val="1A1A1A"/>
          <w:sz w:val="32"/>
          <w:szCs w:val="32"/>
        </w:rPr>
        <w:t xml:space="preserve">5 · Stage 4 — Data Mining (Modelling)</w:t>
      </w:r>
    </w:p>
    <w:p>
      <w:pPr>
        <w:spacing w:after="80" w:before="80"/>
        <w:jc w:val="both"/>
      </w:pPr>
      <w:r>
        <w:rPr>
          <w:sz w:val="22"/>
          <w:szCs w:val="22"/>
        </w:rPr>
        <w:t xml:space="preserve">Four modelling exercises are exposed in the ML Lab page. All supervised models use 5-fold cross-validation in addition to a 20% held-out test set, satisfying the brief’s explicit cross-validation requirement.</w:t>
      </w:r>
    </w:p>
    <w:p>
      <w:pPr>
        <w:pStyle w:val="Heading3"/>
        <w:spacing w:after="80" w:before="160"/>
      </w:pPr>
      <w:r>
        <w:rPr>
          <w:b/>
          <w:bCs/>
          <w:color w:val="1A1A1A"/>
          <w:sz w:val="22"/>
          <w:szCs w:val="22"/>
        </w:rPr>
        <w:t xml:space="preserve">5.1 Profit-margin regression (3 models)</w:t>
      </w:r>
    </w:p>
    <w:p>
      <w:pPr>
        <w:spacing w:after="80" w:before="80"/>
        <w:jc w:val="both"/>
      </w:pPr>
      <w:r>
        <w:rPr>
          <w:sz w:val="22"/>
          <w:szCs w:val="22"/>
        </w:rPr>
        <w:t xml:space="preserve">Target: Profit Margin (Total Profit ÷ Total Revenue), bounded to [−2, 1] so the target is well-behaved. Margin was chosen over raw profit because (1) raw profit dollars span four orders of magnitude across order sizes and (2) the dominant driver of raw profit — discount percentage — is not exposed in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60"/>
        <w:gridCol w:w="2000"/>
        <w:gridCol w:w="2000"/>
      </w:tblGrid>
      <w:tr>
        <w:tc>
          <w:tcPr>
            <w:tcW w:type="dxa" w:w="2400"/>
            <w:tcBorders>
              <w:top w:val="single" w:color="D1D5DB" w:sz="4"/>
              <w:left w:val="single" w:color="D1D5DB" w:sz="4"/>
              <w:bottom w:val="single" w:color="D1D5DB" w:sz="4"/>
              <w:right w:val="single" w:color="D1D5DB" w:sz="4"/>
            </w:tcBorders>
            <w:shd w:fill="F0F7F4" w:val="clear"/>
            <w:tcMar>
              <w:top w:type="dxa" w:w="100"/>
              <w:left w:type="dxa" w:w="140"/>
              <w:bottom w:type="dxa" w:w="100"/>
              <w:right w:type="dxa" w:w="140"/>
            </w:tcMar>
          </w:tcPr>
          <w:p>
            <w:pPr>
              <w:spacing w:after="0" w:before="0"/>
            </w:pPr>
            <w:r>
              <w:rPr>
                <w:b/>
                <w:bCs/>
                <w:color w:val="006A4E"/>
                <w:sz w:val="21"/>
                <w:szCs w:val="21"/>
              </w:rPr>
              <w:t xml:space="preserve">Model</w:t>
            </w:r>
          </w:p>
        </w:tc>
        <w:tc>
          <w:tcPr>
            <w:tcW w:type="dxa" w:w="2960"/>
            <w:tcBorders>
              <w:top w:val="single" w:color="D1D5DB" w:sz="4"/>
              <w:left w:val="single" w:color="D1D5DB" w:sz="4"/>
              <w:bottom w:val="single" w:color="D1D5DB" w:sz="4"/>
              <w:right w:val="single" w:color="D1D5DB" w:sz="4"/>
            </w:tcBorders>
            <w:shd w:fill="F0F7F4" w:val="clear"/>
            <w:tcMar>
              <w:top w:type="dxa" w:w="100"/>
              <w:left w:type="dxa" w:w="140"/>
              <w:bottom w:type="dxa" w:w="100"/>
              <w:right w:type="dxa" w:w="140"/>
            </w:tcMar>
          </w:tcPr>
          <w:p>
            <w:pPr>
              <w:spacing w:after="0" w:before="0"/>
            </w:pPr>
            <w:r>
              <w:rPr>
                <w:b/>
                <w:bCs/>
                <w:color w:val="006A4E"/>
                <w:sz w:val="21"/>
                <w:szCs w:val="21"/>
              </w:rPr>
              <w:t xml:space="preserve">Hyper-params</w:t>
            </w:r>
          </w:p>
        </w:tc>
        <w:tc>
          <w:tcPr>
            <w:tcW w:type="dxa" w:w="2000"/>
            <w:tcBorders>
              <w:top w:val="single" w:color="D1D5DB" w:sz="4"/>
              <w:left w:val="single" w:color="D1D5DB" w:sz="4"/>
              <w:bottom w:val="single" w:color="D1D5DB" w:sz="4"/>
              <w:right w:val="single" w:color="D1D5DB" w:sz="4"/>
            </w:tcBorders>
            <w:shd w:fill="F0F7F4" w:val="clear"/>
            <w:tcMar>
              <w:top w:type="dxa" w:w="100"/>
              <w:left w:type="dxa" w:w="140"/>
              <w:bottom w:type="dxa" w:w="100"/>
              <w:right w:type="dxa" w:w="140"/>
            </w:tcMar>
          </w:tcPr>
          <w:p>
            <w:pPr>
              <w:spacing w:after="0" w:before="0"/>
            </w:pPr>
            <w:r>
              <w:rPr>
                <w:b/>
                <w:bCs/>
                <w:color w:val="006A4E"/>
                <w:sz w:val="21"/>
                <w:szCs w:val="21"/>
              </w:rPr>
              <w:t xml:space="preserve">CV R²</w:t>
            </w:r>
          </w:p>
        </w:tc>
        <w:tc>
          <w:tcPr>
            <w:tcW w:type="dxa" w:w="2000"/>
            <w:tcBorders>
              <w:top w:val="single" w:color="D1D5DB" w:sz="4"/>
              <w:left w:val="single" w:color="D1D5DB" w:sz="4"/>
              <w:bottom w:val="single" w:color="D1D5DB" w:sz="4"/>
              <w:right w:val="single" w:color="D1D5DB" w:sz="4"/>
            </w:tcBorders>
            <w:shd w:fill="F0F7F4" w:val="clear"/>
            <w:tcMar>
              <w:top w:type="dxa" w:w="100"/>
              <w:left w:type="dxa" w:w="140"/>
              <w:bottom w:type="dxa" w:w="100"/>
              <w:right w:type="dxa" w:w="140"/>
            </w:tcMar>
          </w:tcPr>
          <w:p>
            <w:pPr>
              <w:spacing w:after="0" w:before="0"/>
            </w:pPr>
            <w:r>
              <w:rPr>
                <w:b/>
                <w:bCs/>
                <w:color w:val="006A4E"/>
                <w:sz w:val="21"/>
                <w:szCs w:val="21"/>
              </w:rPr>
              <w:t xml:space="preserve">Test R²</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Linear Regression</w:t>
            </w:r>
          </w:p>
        </w:tc>
        <w:tc>
          <w:tcPr>
            <w:tcW w:type="dxa" w:w="2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n/a</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 0.30</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 0.31</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Random Forest</w:t>
            </w:r>
          </w:p>
        </w:tc>
        <w:tc>
          <w:tcPr>
            <w:tcW w:type="dxa" w:w="2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n_est=100, depth=8</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 0.53</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 0.58</w:t>
            </w:r>
          </w:p>
        </w:tc>
      </w:tr>
      <w:tr>
        <w:tc>
          <w:tcPr>
            <w:tcW w:type="dxa" w:w="24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Gradient Boosting</w:t>
            </w:r>
          </w:p>
        </w:tc>
        <w:tc>
          <w:tcPr>
            <w:tcW w:type="dxa" w:w="29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n_est=100, depth=4</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 0.54</w:t>
            </w:r>
          </w:p>
        </w:tc>
        <w:tc>
          <w:tcPr>
            <w:tcW w:type="dxa" w:w="20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 0.58</w:t>
            </w:r>
          </w:p>
        </w:tc>
      </w:tr>
    </w:tbl>
    <w:p>
      <w:pPr>
        <w:spacing w:after="80" w:before="80"/>
        <w:jc w:val="both"/>
      </w:pPr>
      <w:r>
        <w:rPr>
          <w:sz w:val="22"/>
          <w:szCs w:val="22"/>
        </w:rPr>
        <w:t xml:space="preserve">Indicative numbers from a representative run on the full dataset; live results in the app may vary slightly with each retrain.</w:t>
      </w:r>
    </w:p>
    <w:p>
      <w:pPr>
        <w:pStyle w:val="Heading3"/>
        <w:spacing w:after="80" w:before="160"/>
      </w:pPr>
      <w:r>
        <w:rPr>
          <w:b/>
          <w:bCs/>
          <w:color w:val="1A1A1A"/>
          <w:sz w:val="22"/>
          <w:szCs w:val="22"/>
        </w:rPr>
        <w:t xml:space="preserve">5.2 Loss-making order classifier (3 models)</w:t>
      </w:r>
    </w:p>
    <w:p>
      <w:pPr>
        <w:spacing w:after="80" w:before="80"/>
        <w:jc w:val="both"/>
      </w:pPr>
      <w:r>
        <w:rPr>
          <w:sz w:val="22"/>
          <w:szCs w:val="22"/>
        </w:rPr>
        <w:t xml:space="preserve">Target: binary indicator that Total Profit &lt; 0 (≈ 18% of rows). Three classifiers — Logistic Regression, Random Forest (class-balanced), Gradient Boosting — are evaluated by 5-fold stratified cross-validation. Metrics: ROC-AUC, F1, accuracy. A confusion matrix and probability-by-actual-class histogram are rendered for the held-out test set.</w:t>
      </w:r>
    </w:p>
    <w:p>
      <w:pPr>
        <w:spacing w:after="80" w:before="80"/>
        <w:jc w:val="both"/>
      </w:pPr>
      <w:r>
        <w:rPr>
          <w:sz w:val="22"/>
          <w:szCs w:val="22"/>
        </w:rPr>
        <w:t xml:space="preserve">Indicative cross-validated ROC-AUC ≈ 0.85 (Logistic), 0.87 (RF), 0.89 (GB).</w:t>
      </w:r>
    </w:p>
    <w:p>
      <w:pPr>
        <w:pStyle w:val="Heading3"/>
        <w:spacing w:after="80" w:before="160"/>
      </w:pPr>
      <w:r>
        <w:rPr>
          <w:b/>
          <w:bCs/>
          <w:color w:val="1A1A1A"/>
          <w:sz w:val="22"/>
          <w:szCs w:val="22"/>
        </w:rPr>
        <w:t xml:space="preserve">5.3 Customer segmentation — K-Means on RFM</w:t>
      </w:r>
    </w:p>
    <w:p>
      <w:pPr>
        <w:spacing w:after="80" w:before="80"/>
        <w:jc w:val="both"/>
      </w:pPr>
      <w:r>
        <w:rPr>
          <w:sz w:val="22"/>
          <w:szCs w:val="22"/>
        </w:rPr>
        <w:t xml:space="preserve">Customers are clustered on log-transformed Recency / Frequency / Monetary features. Number of clusters k is user-tunable from 2 to 6. The elbow plot (inertia vs k) and silhouette score are surfaced together so the user can defend the choice of k. Cluster labels are mapped to business-friendly tier names (Champions, Loyal, Potential, At-Risk) by descending Monetary value.</w:t>
      </w:r>
    </w:p>
    <w:p>
      <w:pPr>
        <w:pStyle w:val="Heading3"/>
        <w:spacing w:after="80" w:before="160"/>
      </w:pPr>
      <w:r>
        <w:rPr>
          <w:b/>
          <w:bCs/>
          <w:color w:val="1A1A1A"/>
          <w:sz w:val="22"/>
          <w:szCs w:val="22"/>
        </w:rPr>
        <w:t xml:space="preserve">5.4 Time-series forecasting — SARIMA + seasonal-naive baseline</w:t>
      </w:r>
    </w:p>
    <w:p>
      <w:pPr>
        <w:spacing w:after="80" w:before="80"/>
        <w:jc w:val="both"/>
      </w:pPr>
      <w:r>
        <w:rPr>
          <w:sz w:val="22"/>
          <w:szCs w:val="22"/>
        </w:rPr>
        <w:t xml:space="preserve">Monthly revenue is aggregated and modelled as SARIMA(1, 1, 1)(1, 1, 1, 12). A seasonal-naive baseline (this month next year ≈ this month) is plotted alongside as a sanity check. A backtest holds out the last horizon months, refits on the prior history, and reports MAE / RMSE / MAPE — typically MAPE ≈ 18-20% on the Superstore series. Prophet was deliberately not included: its dependency footprint is heavy and brittle relative to the value it adds for a 48-month series.</w:t>
      </w:r>
    </w:p>
    <w:p>
      <w:pPr>
        <w:pStyle w:val="Heading1"/>
        <w:spacing w:after="160" w:before="280"/>
      </w:pPr>
      <w:r>
        <w:rPr>
          <w:b/>
          <w:bCs/>
          <w:color w:val="1A1A1A"/>
          <w:sz w:val="32"/>
          <w:szCs w:val="32"/>
        </w:rPr>
        <w:t xml:space="preserve">6 · Stage 5 — Interpretation (Dashboards &amp; Insights)</w:t>
      </w:r>
    </w:p>
    <w:p>
      <w:pPr>
        <w:spacing w:after="80" w:before="80"/>
        <w:jc w:val="both"/>
      </w:pPr>
      <w:r>
        <w:rPr>
          <w:sz w:val="22"/>
          <w:szCs w:val="22"/>
        </w:rPr>
        <w:t xml:space="preserve">Three dashboards translate the modelling output into executive-readable visualisations:</w:t>
      </w:r>
    </w:p>
    <w:p>
      <w:pPr>
        <w:pStyle w:val="ListParagraph"/>
        <w:numPr>
          <w:ilvl w:val="0"/>
          <w:numId w:val="2"/>
        </w:numPr>
        <w:spacing w:after="40" w:before="40"/>
      </w:pPr>
      <w:r>
        <w:rPr>
          <w:b/>
          <w:bCs/>
          <w:sz w:val="22"/>
          <w:szCs w:val="22"/>
        </w:rPr>
        <w:t xml:space="preserve">Executive Overview: </w:t>
      </w:r>
      <w:r>
        <w:rPr>
          <w:sz w:val="22"/>
          <w:szCs w:val="22"/>
        </w:rPr>
        <w:t xml:space="preserve">Headline scorecards (revenue, profit, margin, orders, customers, AOV, YoY delta), monthly trend, region profit, category mix treemap, year-over-year comparison.</w:t>
      </w:r>
    </w:p>
    <w:p>
      <w:pPr>
        <w:pStyle w:val="ListParagraph"/>
        <w:numPr>
          <w:ilvl w:val="0"/>
          <w:numId w:val="2"/>
        </w:numPr>
        <w:spacing w:after="40" w:before="40"/>
      </w:pPr>
      <w:r>
        <w:rPr>
          <w:b/>
          <w:bCs/>
          <w:sz w:val="22"/>
          <w:szCs w:val="22"/>
        </w:rPr>
        <w:t xml:space="preserve">Customer &amp; Product: </w:t>
      </w:r>
      <w:r>
        <w:rPr>
          <w:sz w:val="22"/>
          <w:szCs w:val="22"/>
        </w:rPr>
        <w:t xml:space="preserve">Sub-category profitability (diverging bars), segment performance, top-10 customers, order-level profit-vs-revenue scatter highlighting loss-makers.</w:t>
      </w:r>
    </w:p>
    <w:p>
      <w:pPr>
        <w:pStyle w:val="ListParagraph"/>
        <w:numPr>
          <w:ilvl w:val="0"/>
          <w:numId w:val="2"/>
        </w:numPr>
        <w:spacing w:after="40" w:before="40"/>
      </w:pPr>
      <w:r>
        <w:rPr>
          <w:b/>
          <w:bCs/>
          <w:sz w:val="22"/>
          <w:szCs w:val="22"/>
        </w:rPr>
        <w:t xml:space="preserve">Geo &amp; Logistics: </w:t>
      </w:r>
      <w:r>
        <w:rPr>
          <w:sz w:val="22"/>
          <w:szCs w:val="22"/>
        </w:rPr>
        <w:t xml:space="preserve">US choropleth coloured by net profit, top/bottom states, ship-mode mix, shipping-day distributions by mode.</w:t>
      </w:r>
    </w:p>
    <w:p>
      <w:pPr>
        <w:spacing w:after="80" w:before="80"/>
        <w:jc w:val="both"/>
      </w:pPr>
      <w:r>
        <w:rPr>
          <w:sz w:val="22"/>
          <w:szCs w:val="22"/>
        </w:rPr>
        <w:t xml:space="preserve">Every dashboard exposes filters for Year, Region, Segment, and Category that propagate to all charts on the page. Every chart applies the visual principles taught in DAN614:</w:t>
      </w:r>
    </w:p>
    <w:p>
      <w:pPr>
        <w:pStyle w:val="ListParagraph"/>
        <w:numPr>
          <w:ilvl w:val="0"/>
          <w:numId w:val="2"/>
        </w:numPr>
        <w:spacing w:after="40" w:before="40"/>
      </w:pPr>
      <w:r>
        <w:rPr>
          <w:sz w:val="22"/>
          <w:szCs w:val="22"/>
        </w:rPr>
        <w:t xml:space="preserve">One accent colour (LAU green #006A4E) used sparingly to draw the eye to the headline insight (preattentive-attribute principle).</w:t>
      </w:r>
    </w:p>
    <w:p>
      <w:pPr>
        <w:pStyle w:val="ListParagraph"/>
        <w:numPr>
          <w:ilvl w:val="0"/>
          <w:numId w:val="2"/>
        </w:numPr>
        <w:spacing w:after="40" w:before="40"/>
      </w:pPr>
      <w:r>
        <w:rPr>
          <w:sz w:val="22"/>
          <w:szCs w:val="22"/>
        </w:rPr>
        <w:t xml:space="preserve">Decluttered axes — no chart borders, no secondary y-axes, minimal gridlines (decluttering rules).</w:t>
      </w:r>
    </w:p>
    <w:p>
      <w:pPr>
        <w:pStyle w:val="ListParagraph"/>
        <w:numPr>
          <w:ilvl w:val="0"/>
          <w:numId w:val="2"/>
        </w:numPr>
        <w:spacing w:after="40" w:before="40"/>
      </w:pPr>
      <w:r>
        <w:rPr>
          <w:sz w:val="22"/>
          <w:szCs w:val="22"/>
        </w:rPr>
        <w:t xml:space="preserve">Direct labelling of values on bars instead of a separate legend where possible.</w:t>
      </w:r>
    </w:p>
    <w:p>
      <w:pPr>
        <w:pStyle w:val="ListParagraph"/>
        <w:numPr>
          <w:ilvl w:val="0"/>
          <w:numId w:val="2"/>
        </w:numPr>
        <w:spacing w:after="40" w:before="40"/>
      </w:pPr>
      <w:r>
        <w:rPr>
          <w:sz w:val="22"/>
          <w:szCs w:val="22"/>
        </w:rPr>
        <w:t xml:space="preserve">Right chart for the question — bars for category comparison, lines for time, treemap for composition, choropleth for geography, scatter for relationships, box plots for distribution.</w:t>
      </w:r>
    </w:p>
    <w:p>
      <w:pPr>
        <w:pStyle w:val="Heading1"/>
        <w:spacing w:after="160" w:before="280"/>
      </w:pPr>
      <w:r>
        <w:rPr>
          <w:b/>
          <w:bCs/>
          <w:color w:val="1A1A1A"/>
          <w:sz w:val="32"/>
          <w:szCs w:val="32"/>
        </w:rPr>
        <w:t xml:space="preserve">7 · Architecture &amp; file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F0F7F4" w:val="clear"/>
            <w:tcMar>
              <w:top w:type="dxa" w:w="100"/>
              <w:left w:type="dxa" w:w="140"/>
              <w:bottom w:type="dxa" w:w="100"/>
              <w:right w:type="dxa" w:w="140"/>
            </w:tcMar>
          </w:tcPr>
          <w:p>
            <w:pPr>
              <w:spacing w:after="0" w:before="0"/>
            </w:pPr>
            <w:r>
              <w:rPr>
                <w:b/>
                <w:bCs/>
                <w:color w:val="006A4E"/>
                <w:sz w:val="21"/>
                <w:szCs w:val="21"/>
              </w:rPr>
              <w:t xml:space="preserve">File</w:t>
            </w:r>
          </w:p>
        </w:tc>
        <w:tc>
          <w:tcPr>
            <w:tcW w:type="dxa" w:w="6560"/>
            <w:tcBorders>
              <w:top w:val="single" w:color="D1D5DB" w:sz="4"/>
              <w:left w:val="single" w:color="D1D5DB" w:sz="4"/>
              <w:bottom w:val="single" w:color="D1D5DB" w:sz="4"/>
              <w:right w:val="single" w:color="D1D5DB" w:sz="4"/>
            </w:tcBorders>
            <w:shd w:fill="F0F7F4" w:val="clear"/>
            <w:tcMar>
              <w:top w:type="dxa" w:w="100"/>
              <w:left w:type="dxa" w:w="140"/>
              <w:bottom w:type="dxa" w:w="100"/>
              <w:right w:type="dxa" w:w="140"/>
            </w:tcMar>
          </w:tcPr>
          <w:p>
            <w:pPr>
              <w:spacing w:after="0" w:before="0"/>
            </w:pPr>
            <w:r>
              <w:rPr>
                <w:b/>
                <w:bCs/>
                <w:color w:val="006A4E"/>
                <w:sz w:val="21"/>
                <w:szCs w:val="21"/>
              </w:rPr>
              <w:t xml:space="preserve">Responsibility</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app.py</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Streamlit entry-point, horizontal menu, page router, session-state management</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utils/theme.py</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LAU colour palette, Plotly template, CSS injection, KPI-card and brand helpers</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utils/schema.py</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Canonical schema, type coercion, validation report</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utils/cleaning.py</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Five cleaning measures + demo-null injector</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utils/gsheets.py</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Mode B service-account loader (gspread + google-auth)</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utils/ml_models.py</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Regression, classification, K-Means, feature-importance helpers</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utils/forecasting.py</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SARIMA + seasonal-naive baseline + backtest</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requirements.txt</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Pinned Python dependencies (no Prophet)</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credentials_template.json</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Placeholder for the Mode B service-account JSON</w:t>
            </w:r>
          </w:p>
        </w:tc>
      </w:tr>
      <w:tr>
        <w:tc>
          <w:tcPr>
            <w:tcW w:type="dxa" w:w="280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README.md</w:t>
            </w:r>
          </w:p>
        </w:tc>
        <w:tc>
          <w:tcPr>
            <w:tcW w:type="dxa" w:w="6560"/>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0" w:before="0"/>
            </w:pPr>
            <w:r>
              <w:rPr>
                <w:b w:val="false"/>
                <w:bCs w:val="false"/>
                <w:color w:val="1A1A1A"/>
                <w:sz w:val="21"/>
                <w:szCs w:val="21"/>
              </w:rPr>
              <w:t xml:space="preserve">Setup, run, troubleshooting</w:t>
            </w:r>
          </w:p>
        </w:tc>
      </w:tr>
    </w:tbl>
    <w:p>
      <w:pPr>
        <w:pStyle w:val="Heading2"/>
        <w:spacing w:after="120" w:before="220"/>
      </w:pPr>
      <w:r>
        <w:rPr>
          <w:b/>
          <w:bCs/>
          <w:color w:val="006A4E"/>
          <w:sz w:val="26"/>
          <w:szCs w:val="26"/>
        </w:rPr>
        <w:t xml:space="preserve">Why this architecture</w:t>
      </w:r>
    </w:p>
    <w:p>
      <w:pPr>
        <w:pStyle w:val="ListParagraph"/>
        <w:numPr>
          <w:ilvl w:val="0"/>
          <w:numId w:val="2"/>
        </w:numPr>
        <w:spacing w:after="40" w:before="40"/>
      </w:pPr>
      <w:r>
        <w:rPr>
          <w:b/>
          <w:bCs/>
          <w:sz w:val="22"/>
          <w:szCs w:val="22"/>
        </w:rPr>
        <w:t xml:space="preserve">Defensibility: </w:t>
      </w:r>
      <w:r>
        <w:rPr>
          <w:sz w:val="22"/>
          <w:szCs w:val="22"/>
        </w:rPr>
        <w:t xml:space="preserve">Each utility module corresponds to one KDD stage. Asked “where do you handle outliers?”, the answer is one file.</w:t>
      </w:r>
    </w:p>
    <w:p>
      <w:pPr>
        <w:pStyle w:val="ListParagraph"/>
        <w:numPr>
          <w:ilvl w:val="0"/>
          <w:numId w:val="2"/>
        </w:numPr>
        <w:spacing w:after="40" w:before="40"/>
      </w:pPr>
      <w:r>
        <w:rPr>
          <w:b/>
          <w:bCs/>
          <w:sz w:val="22"/>
          <w:szCs w:val="22"/>
        </w:rPr>
        <w:t xml:space="preserve">Reusability: </w:t>
      </w:r>
      <w:r>
        <w:rPr>
          <w:sz w:val="22"/>
          <w:szCs w:val="22"/>
        </w:rPr>
        <w:t xml:space="preserve">The cleaning and ML utilities are pure functions of a DataFrame — they are independently importable for unit tests or future extension.</w:t>
      </w:r>
    </w:p>
    <w:p>
      <w:pPr>
        <w:pStyle w:val="ListParagraph"/>
        <w:numPr>
          <w:ilvl w:val="0"/>
          <w:numId w:val="2"/>
        </w:numPr>
        <w:spacing w:after="40" w:before="40"/>
      </w:pPr>
      <w:r>
        <w:rPr>
          <w:b/>
          <w:bCs/>
          <w:sz w:val="22"/>
          <w:szCs w:val="22"/>
        </w:rPr>
        <w:t xml:space="preserve">Reproducibility: </w:t>
      </w:r>
      <w:r>
        <w:rPr>
          <w:sz w:val="22"/>
          <w:szCs w:val="22"/>
        </w:rPr>
        <w:t xml:space="preserve">All randomness uses fixed seeds (random_state=42). All transformations live inside scikit-learn pipelines, eliminating leakage during cross-validation.</w:t>
      </w:r>
    </w:p>
    <w:p>
      <w:pPr>
        <w:pStyle w:val="Heading1"/>
        <w:spacing w:after="160" w:before="280"/>
      </w:pPr>
      <w:r>
        <w:rPr>
          <w:b/>
          <w:bCs/>
          <w:color w:val="1A1A1A"/>
          <w:sz w:val="32"/>
          <w:szCs w:val="32"/>
        </w:rPr>
        <w:t xml:space="preserve">8 · Notable design decisions</w:t>
      </w:r>
    </w:p>
    <w:p>
      <w:pPr>
        <w:pStyle w:val="ListParagraph"/>
        <w:numPr>
          <w:ilvl w:val="0"/>
          <w:numId w:val="2"/>
        </w:numPr>
        <w:spacing w:after="40" w:before="40"/>
      </w:pPr>
      <w:r>
        <w:rPr>
          <w:b/>
          <w:bCs/>
          <w:sz w:val="22"/>
          <w:szCs w:val="22"/>
        </w:rPr>
        <w:t xml:space="preserve">Profit margin as regression target: </w:t>
      </w:r>
      <w:r>
        <w:rPr>
          <w:sz w:val="22"/>
          <w:szCs w:val="22"/>
        </w:rPr>
        <w:t xml:space="preserve">Instead of raw profit dollars, the regression predicts profit margin. Margin is bounded, well-behaved across order sizes, and answers a more useful business question. This raised test R² from negative (worse than predicting the mean) to ≈ 0.58.</w:t>
      </w:r>
    </w:p>
    <w:p>
      <w:pPr>
        <w:pStyle w:val="ListParagraph"/>
        <w:numPr>
          <w:ilvl w:val="0"/>
          <w:numId w:val="2"/>
        </w:numPr>
        <w:spacing w:after="40" w:before="40"/>
      </w:pPr>
      <w:r>
        <w:rPr>
          <w:b/>
          <w:bCs/>
          <w:sz w:val="22"/>
          <w:szCs w:val="22"/>
        </w:rPr>
        <w:t xml:space="preserve">No Prophet for forecasting: </w:t>
      </w:r>
      <w:r>
        <w:rPr>
          <w:sz w:val="22"/>
          <w:szCs w:val="22"/>
        </w:rPr>
        <w:t xml:space="preserve">Prophet brings heavy and fragile dependencies (pystan / cmdstanpy) for marginal benefit on a 48-month monthly series. SARIMA from statsmodels fits in under a second and produces defensible backtest metrics.</w:t>
      </w:r>
    </w:p>
    <w:p>
      <w:pPr>
        <w:pStyle w:val="ListParagraph"/>
        <w:numPr>
          <w:ilvl w:val="0"/>
          <w:numId w:val="2"/>
        </w:numPr>
        <w:spacing w:after="40" w:before="40"/>
      </w:pPr>
      <w:r>
        <w:rPr>
          <w:b/>
          <w:bCs/>
          <w:sz w:val="22"/>
          <w:szCs w:val="22"/>
        </w:rPr>
        <w:t xml:space="preserve">Service-account flow for Mode B: </w:t>
      </w:r>
      <w:r>
        <w:rPr>
          <w:sz w:val="22"/>
          <w:szCs w:val="22"/>
        </w:rPr>
        <w:t xml:space="preserve">Public-share-URL ingestion is brittle (Google sometimes rate-limits or changes the export endpoint). A service account guarantees reliable read access and gives the user explicit control over which sheets the app can see.</w:t>
      </w:r>
    </w:p>
    <w:p>
      <w:pPr>
        <w:pStyle w:val="ListParagraph"/>
        <w:numPr>
          <w:ilvl w:val="0"/>
          <w:numId w:val="2"/>
        </w:numPr>
        <w:spacing w:after="40" w:before="40"/>
      </w:pPr>
      <w:r>
        <w:rPr>
          <w:b/>
          <w:bCs/>
          <w:sz w:val="22"/>
          <w:szCs w:val="22"/>
        </w:rPr>
        <w:t xml:space="preserve">KPI cards via raw HTML: </w:t>
      </w:r>
      <w:r>
        <w:rPr>
          <w:sz w:val="22"/>
          <w:szCs w:val="22"/>
        </w:rPr>
        <w:t xml:space="preserve">Streamlit’s built-in st.metric is limited in styling. Custom HTML KPI cards allow the app to apply the academic LAU brand consistently and render the headline number, delta, and sub-label in the layout taught in the course.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4A4A"/>
        <w:sz w:val="18"/>
        <w:szCs w:val="18"/>
      </w:rPr>
      <w:t xml:space="preserve">Jad Assaf · DAN614 · LAU Adnan Kassar School of Business · Page </w:t>
    </w:r>
    <w:r>
      <w:rPr>
        <w:color w:val="4A4A4A"/>
        <w:sz w:val="18"/>
        <w:szCs w:val="18"/>
      </w:rPr>
      <w:fldChar w:fldCharType="begin"/>
      <w:instrText xml:space="preserve">PAGE</w:instrText>
      <w:fldChar w:fldCharType="separate"/>
      <w:fldChar w:fldCharType="end"/>
    </w:r>
    <w:r>
      <w:rPr>
        <w:color w:val="4A4A4A"/>
        <w:sz w:val="18"/>
        <w:szCs w:val="18"/>
      </w:rPr>
      <w:t xml:space="preserve"> of </w:t>
    </w:r>
    <w:r>
      <w:rPr>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color w:val="4A4A4A"/>
        <w:sz w:val="18"/>
        <w:szCs w:val="18"/>
      </w:rPr>
      <w:t xml:space="preserve">Superstore KDD Analytics  ·  Pipeline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6A4E"/>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Document — Superstore KDD</dc:title>
  <dc:creator>Jad Assaf</dc:creator>
  <dc:description>DAN614 Individual Project — Pipeline document</dc:description>
  <cp:lastModifiedBy>Un-named</cp:lastModifiedBy>
  <cp:revision>1</cp:revision>
  <dcterms:created xsi:type="dcterms:W3CDTF">2026-04-26T12:17:47.369Z</dcterms:created>
  <dcterms:modified xsi:type="dcterms:W3CDTF">2026-04-26T12:17:47.369Z</dcterms:modified>
</cp:coreProperties>
</file>

<file path=docProps/custom.xml><?xml version="1.0" encoding="utf-8"?>
<Properties xmlns="http://schemas.openxmlformats.org/officeDocument/2006/custom-properties" xmlns:vt="http://schemas.openxmlformats.org/officeDocument/2006/docPropsVTypes"/>
</file>