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Переглянути товар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Гість</w:t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зацікавлений в інформації про товар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обирає товар зі списку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із сервером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інформацію про товар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i w:val="false"/>
          <w:color w:val="252525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u w:val="none"/>
          <w:lang w:val="uk-UA" w:eastAsia="uk-UA"/>
        </w:rPr>
        <w:t xml:space="preserve">ПП1. Немає зв’язку із сервером</w:t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u w:val="none"/>
        </w:rPr>
        <w:t xml:space="preserve">:</w:t>
      </w:r>
      <w:r>
        <w:rPr>
          <w:b/>
          <w:i w:val="false"/>
          <w:u w:val="none"/>
        </w:rPr>
      </w:r>
    </w:p>
    <w:p>
      <w:pPr>
        <w:pStyle w:val="814"/>
        <w:numPr>
          <w:ilvl w:val="0"/>
          <w:numId w:val="2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/>
        </w:rPr>
        <w:t xml:space="preserve">Система виводить повідомлення про проблему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2021-10-10T16:11:05Z</dcterms:modified>
</cp:coreProperties>
</file>