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CV ASSIGNMENT 6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trainable parameters can be trained while non trainable cannot be trained.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Q2) dropout layer can be fitted after batch normalisation or after output from activation function.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Q5) initial learning rate should not be very high to prevent overfitting of model and also since gradient descent would be anyway be large initially. Also, it shouldn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t be too small that prevents learning.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Q6) activation function helps in learning by neurons, gives output (classification), stabilizes model etc. 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Q7) normalisation of data means having a small mean and variance with normal distribution to allow neurons to identify pattens easily, remove skewness and prevent computational difficulties.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Q8) image augmentation has techniques like cropping, scaling, rotation, flipping etc to allow neurons to identify images from all angles and variations. This is also helpful when data is very little.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Q9) learning rate decline is scheduled to allow faster convergence in earlier stages and to prevent overfitting in the end.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Q10) training is stopped early if required threshold accuracy is achieved.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