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metaclass is class of class. It defines how a class behaves. Hence class is instance of metaclass.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using type() method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Class  = type(classname, (base), {attributes})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decorators and metaclasses are used in metaprogramming, modifying behaviour of classes, influencing class methods and in solving class problems and bugs.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Q4) Functions themselves are objects. Decorators can modify the behaviour of functions. Decorators can wrap one function inside another. By</w:t>
      </w:r>
      <w:r>
        <w:rPr>
          <w:sz w:val="30"/>
          <w:szCs w:val="30"/>
          <w:rtl w:val="0"/>
          <w:lang w:val="en-US"/>
        </w:rPr>
        <w:t xml:space="preserve"> wrapping one function inside other, the behaviour of wrapped function can be extended without affecting the function</w:t>
      </w:r>
      <w:r>
        <w:rPr>
          <w:sz w:val="30"/>
          <w:szCs w:val="30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