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6ED4D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0"/>
        <w:rPr>
          <w:rFonts w:ascii="system-ui" w:eastAsia="Times New Roman" w:hAnsi="system-ui" w:cs="Times New Roman"/>
          <w:b/>
          <w:bCs/>
          <w:color w:val="FFFFFF"/>
          <w:spacing w:val="-6"/>
          <w:kern w:val="36"/>
          <w:sz w:val="51"/>
          <w:szCs w:val="51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kern w:val="36"/>
          <w:sz w:val="51"/>
          <w:szCs w:val="51"/>
          <w:lang w:eastAsia="en-KE"/>
        </w:rPr>
        <w:t>SUPPORT &amp; RESISTANCE PROTOCOL</w:t>
      </w:r>
    </w:p>
    <w:p w14:paraId="694A6B0D" w14:textId="336D304F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v3.</w:t>
      </w:r>
      <w:r w:rsidR="00BC1A2E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val="en-US" w:eastAsia="en-KE"/>
        </w:rPr>
        <w:t>5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 </w:t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Source: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How to Trade Support and Resistance (BabyPips) — see lesson for pattern theory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All instruments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 </w:t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TF: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Daily (bias) → H4 (zones) → H1/M15 (entry) | </w:t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Sessions: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London 07:00–10:00 | NY 13:00–16:00 | Overlap 13:00–16:00 (breakouts) | Any liquid session (bounces)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Reality: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Bounce 55–65% @ 1:1–1.5:1 | Aggressive Break 20–40% @ 1:2–1:4 | Conservative Break 50–70% @ 1:2–1:3 | Hybrid 40–55% @ 1:2–1:3.5 | Failed Fade 60–75% @ 1:3–1:5 | Edge from regime-matched method selection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Risk: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0.5–1.0% per trade. Size per Risk Framework.</w:t>
      </w:r>
    </w:p>
    <w:p w14:paraId="66F9C7E2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6F8A215F">
          <v:rect id="_x0000_i1026" style="width:0;height:0" o:hralign="center" o:hrstd="t" o:hr="t" fillcolor="#a0a0a0" stroked="f"/>
        </w:pict>
      </w:r>
    </w:p>
    <w:p w14:paraId="1776141A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State Classification</w:t>
      </w:r>
    </w:p>
    <w:p w14:paraId="496F16F5" w14:textId="77777777" w:rsidR="00CA0F14" w:rsidRPr="001634CB" w:rsidRDefault="00CA0F14" w:rsidP="00CA0F1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b/>
          <w:bCs/>
          <w:i/>
          <w:iCs/>
          <w:color w:val="F2F2F2" w:themeColor="background1" w:themeShade="F2"/>
          <w:sz w:val="21"/>
          <w:szCs w:val="21"/>
          <w:bdr w:val="single" w:sz="2" w:space="0" w:color="E5E7EB" w:frame="1"/>
          <w:lang w:eastAsia="en-KE"/>
        </w:rPr>
        <w:t>Regime Check — Dual Timeframe (both must pass):</w:t>
      </w:r>
    </w:p>
    <w:p w14:paraId="45D07F68" w14:textId="77777777" w:rsidR="00CA0F14" w:rsidRPr="001634CB" w:rsidRDefault="00CA0F14" w:rsidP="00CA0F1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b/>
          <w:bCs/>
          <w:i/>
          <w:iCs/>
          <w:color w:val="F2F2F2" w:themeColor="background1" w:themeShade="F2"/>
          <w:sz w:val="21"/>
          <w:szCs w:val="21"/>
          <w:bdr w:val="single" w:sz="2" w:space="0" w:color="E5E7EB" w:frame="1"/>
          <w:lang w:eastAsia="en-KE"/>
        </w:rPr>
        <w:t>H4 ADX(14)</w:t>
      </w: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> — structural regime. Determines which METHOD CLASS is permitted:</w:t>
      </w:r>
    </w:p>
    <w:p w14:paraId="6AB4A0C8" w14:textId="77777777" w:rsidR="00CA0F14" w:rsidRPr="001634CB" w:rsidRDefault="00CA0F14" w:rsidP="00CA0F14">
      <w:pPr>
        <w:numPr>
          <w:ilvl w:val="1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>&lt; 20 → Ranging → Bounce eligible</w:t>
      </w:r>
    </w:p>
    <w:p w14:paraId="2E88F6FE" w14:textId="77777777" w:rsidR="00CA0F14" w:rsidRPr="001634CB" w:rsidRDefault="00CA0F14" w:rsidP="00CA0F14">
      <w:pPr>
        <w:numPr>
          <w:ilvl w:val="1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20–25 → Transitional → </w:t>
      </w:r>
      <w:r w:rsidRPr="001634CB">
        <w:rPr>
          <w:rFonts w:ascii="Segoe UI Emoji" w:eastAsia="Times New Roman" w:hAnsi="Segoe UI Emoji" w:cs="Segoe UI Emoji"/>
          <w:i/>
          <w:iCs/>
          <w:color w:val="F2F2F2" w:themeColor="background1" w:themeShade="F2"/>
          <w:sz w:val="21"/>
          <w:szCs w:val="21"/>
          <w:lang w:eastAsia="en-KE"/>
        </w:rPr>
        <w:t>❌</w:t>
      </w: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 No trades</w:t>
      </w:r>
    </w:p>
    <w:p w14:paraId="57783C0C" w14:textId="77777777" w:rsidR="00CA0F14" w:rsidRPr="001634CB" w:rsidRDefault="00CA0F14" w:rsidP="00CA0F14">
      <w:pPr>
        <w:numPr>
          <w:ilvl w:val="1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>≥ 25, rising → Trending → Breakout methods eligible</w:t>
      </w:r>
    </w:p>
    <w:p w14:paraId="3AA48707" w14:textId="77777777" w:rsidR="00CA0F14" w:rsidRPr="001634CB" w:rsidRDefault="00CA0F14" w:rsidP="00CA0F14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b/>
          <w:bCs/>
          <w:i/>
          <w:iCs/>
          <w:color w:val="F2F2F2" w:themeColor="background1" w:themeShade="F2"/>
          <w:sz w:val="21"/>
          <w:szCs w:val="21"/>
          <w:bdr w:val="single" w:sz="2" w:space="0" w:color="E5E7EB" w:frame="1"/>
          <w:lang w:eastAsia="en-KE"/>
        </w:rPr>
        <w:t>Entry TF ADX(14)</w:t>
      </w: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> (H1 or M15) — must NOT contradict H4:</w:t>
      </w:r>
    </w:p>
    <w:p w14:paraId="54DCFC3F" w14:textId="77777777" w:rsidR="00CA0F14" w:rsidRPr="001634CB" w:rsidRDefault="00CA0F14" w:rsidP="00CA0F14">
      <w:pPr>
        <w:numPr>
          <w:ilvl w:val="1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H4 Trending + Entry TF &lt; 20 → </w:t>
      </w:r>
      <w:r w:rsidRPr="001634CB">
        <w:rPr>
          <w:rFonts w:ascii="Segoe UI Emoji" w:eastAsia="Times New Roman" w:hAnsi="Segoe UI Emoji" w:cs="Segoe UI Emoji"/>
          <w:i/>
          <w:iCs/>
          <w:color w:val="F2F2F2" w:themeColor="background1" w:themeShade="F2"/>
          <w:sz w:val="21"/>
          <w:szCs w:val="21"/>
          <w:lang w:eastAsia="en-KE"/>
        </w:rPr>
        <w:t>❌</w:t>
      </w: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 No bounce. Wait for entry TF to confirm trend (ADX </w:t>
      </w:r>
      <w:r w:rsidRPr="001634CB">
        <w:rPr>
          <w:rFonts w:ascii="Cambria" w:eastAsia="Times New Roman" w:hAnsi="Cambria" w:cs="Cambria"/>
          <w:i/>
          <w:iCs/>
          <w:color w:val="F2F2F2" w:themeColor="background1" w:themeShade="F2"/>
          <w:sz w:val="21"/>
          <w:szCs w:val="21"/>
          <w:lang w:eastAsia="en-KE"/>
        </w:rPr>
        <w:t>≥</w:t>
      </w: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 25) or stand aside</w:t>
      </w:r>
    </w:p>
    <w:p w14:paraId="3CC5DB86" w14:textId="77777777" w:rsidR="00CA0F14" w:rsidRPr="001634CB" w:rsidRDefault="00CA0F14" w:rsidP="00CA0F14">
      <w:pPr>
        <w:numPr>
          <w:ilvl w:val="1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H4 Ranging + Entry TF ≥ 25 → </w:t>
      </w:r>
      <w:r w:rsidRPr="001634CB">
        <w:rPr>
          <w:rFonts w:ascii="Segoe UI Emoji" w:eastAsia="Times New Roman" w:hAnsi="Segoe UI Emoji" w:cs="Segoe UI Emoji"/>
          <w:i/>
          <w:iCs/>
          <w:color w:val="F2F2F2" w:themeColor="background1" w:themeShade="F2"/>
          <w:sz w:val="21"/>
          <w:szCs w:val="21"/>
          <w:lang w:eastAsia="en-KE"/>
        </w:rPr>
        <w:t>⚠️</w:t>
      </w: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 xml:space="preserve"> Likely micro-trend within range. Bounce permitted at 50% size only. Do NOT take breakout methods</w:t>
      </w:r>
    </w:p>
    <w:p w14:paraId="0511EFEB" w14:textId="7FFA739B" w:rsidR="00CA0F14" w:rsidRPr="00291F97" w:rsidRDefault="00CA0F14" w:rsidP="00291F97">
      <w:pPr>
        <w:numPr>
          <w:ilvl w:val="1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</w:pPr>
      <w:r w:rsidRPr="001634CB">
        <w:rPr>
          <w:rFonts w:ascii="Inter" w:eastAsia="Times New Roman" w:hAnsi="Inter" w:cs="Times New Roman"/>
          <w:i/>
          <w:iCs/>
          <w:color w:val="F2F2F2" w:themeColor="background1" w:themeShade="F2"/>
          <w:sz w:val="21"/>
          <w:szCs w:val="21"/>
          <w:lang w:eastAsia="en-KE"/>
        </w:rPr>
        <w:t>H4 and Entry TF agree → Full conviction, standard sizing</w:t>
      </w:r>
    </w:p>
    <w:tbl>
      <w:tblPr>
        <w:tblW w:w="757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1741"/>
        <w:gridCol w:w="4037"/>
      </w:tblGrid>
      <w:tr w:rsidR="00457ABF" w:rsidRPr="00457ABF" w14:paraId="34106391" w14:textId="77777777" w:rsidTr="00457ABF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D74820E" w14:textId="77777777" w:rsidR="00457ABF" w:rsidRPr="00234199" w:rsidRDefault="00457ABF" w:rsidP="00457AB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1"/>
                <w:szCs w:val="21"/>
                <w:lang w:eastAsia="en-KE"/>
              </w:rPr>
            </w:pPr>
            <w:r w:rsidRPr="00234199">
              <w:rPr>
                <w:rFonts w:ascii="Times New Roman" w:eastAsia="Times New Roman" w:hAnsi="Times New Roman" w:cs="Times New Roman"/>
                <w:b/>
                <w:bCs/>
                <w:color w:val="FF0000"/>
                <w:sz w:val="21"/>
                <w:szCs w:val="21"/>
                <w:lang w:eastAsia="en-KE"/>
              </w:rPr>
              <w:t>ADX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9AE50BE" w14:textId="77777777" w:rsidR="00457ABF" w:rsidRPr="00234199" w:rsidRDefault="00457ABF" w:rsidP="00457AB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1"/>
                <w:szCs w:val="21"/>
                <w:lang w:eastAsia="en-KE"/>
              </w:rPr>
            </w:pPr>
            <w:r w:rsidRPr="00234199">
              <w:rPr>
                <w:rFonts w:ascii="Times New Roman" w:eastAsia="Times New Roman" w:hAnsi="Times New Roman" w:cs="Times New Roman"/>
                <w:b/>
                <w:bCs/>
                <w:color w:val="FF0000"/>
                <w:sz w:val="21"/>
                <w:szCs w:val="21"/>
                <w:lang w:eastAsia="en-KE"/>
              </w:rPr>
              <w:t>Regime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F5C5407" w14:textId="77777777" w:rsidR="00457ABF" w:rsidRPr="00234199" w:rsidRDefault="00457ABF" w:rsidP="00457AB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1"/>
                <w:szCs w:val="21"/>
                <w:lang w:eastAsia="en-KE"/>
              </w:rPr>
            </w:pPr>
            <w:r w:rsidRPr="00234199">
              <w:rPr>
                <w:rFonts w:ascii="Times New Roman" w:eastAsia="Times New Roman" w:hAnsi="Times New Roman" w:cs="Times New Roman"/>
                <w:b/>
                <w:bCs/>
                <w:color w:val="FF0000"/>
                <w:sz w:val="21"/>
                <w:szCs w:val="21"/>
                <w:lang w:eastAsia="en-KE"/>
              </w:rPr>
              <w:t>Method</w:t>
            </w:r>
          </w:p>
        </w:tc>
      </w:tr>
      <w:tr w:rsidR="00457ABF" w:rsidRPr="00457ABF" w14:paraId="0EA1C7F2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3C86F0A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&lt; 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B58C9C4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Ranging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415D36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Bounce only</w:t>
            </w:r>
          </w:p>
        </w:tc>
      </w:tr>
      <w:tr w:rsidR="00457ABF" w:rsidRPr="00457ABF" w14:paraId="4E9CE982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F8054E5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20–25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945C80F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Transitional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18AC75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Segoe UI Emoji" w:eastAsia="Times New Roman" w:hAnsi="Segoe UI Emoji" w:cs="Segoe UI Emoji"/>
                <w:sz w:val="21"/>
                <w:szCs w:val="21"/>
                <w:lang w:eastAsia="en-KE"/>
              </w:rPr>
              <w:t>❌</w:t>
            </w: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 xml:space="preserve"> No trades — stand aside</w:t>
            </w:r>
          </w:p>
        </w:tc>
      </w:tr>
      <w:tr w:rsidR="00457ABF" w:rsidRPr="00457ABF" w14:paraId="7E7E5643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4B6F45E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≥ 25 (rising)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9C9B9AE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Trending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AE501AE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Breakout methods only</w:t>
            </w:r>
          </w:p>
        </w:tc>
      </w:tr>
    </w:tbl>
    <w:p w14:paraId="4FC03150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lastRenderedPageBreak/>
        <w:t>⚠️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Regime mismatch is the #1 failure mode. Bounces fail in trends. Breakouts fail in ranges. Always check ADX first.</w:t>
      </w:r>
    </w:p>
    <w:p w14:paraId="1B30B656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Master Bias: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Check Daily 200 EMA.</w:t>
      </w:r>
    </w:p>
    <w:p w14:paraId="36CFC6C7" w14:textId="77777777" w:rsidR="00457ABF" w:rsidRPr="00457ABF" w:rsidRDefault="00457ABF" w:rsidP="00457ABF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Price &gt; 200 EMA → BULLISH → long setups only</w:t>
      </w:r>
    </w:p>
    <w:p w14:paraId="5C098959" w14:textId="77777777" w:rsidR="00457ABF" w:rsidRPr="00457ABF" w:rsidRDefault="00457ABF" w:rsidP="00457ABF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Price &lt; 200 EMA → BEARISH → short setups only</w:t>
      </w:r>
    </w:p>
    <w:p w14:paraId="74E6F8FD" w14:textId="77777777" w:rsidR="00457ABF" w:rsidRPr="00457ABF" w:rsidRDefault="00457ABF" w:rsidP="00457ABF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Price within ±1 ATR of 200 EMA → NEUTRAL → reduce size 50% or stand aside</w:t>
      </w:r>
    </w:p>
    <w:p w14:paraId="5BEB040F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Never trade a lower-timeframe setup against Daily bias direction.</w:t>
      </w:r>
    </w:p>
    <w:p w14:paraId="6207A0EB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212F300D">
          <v:rect id="_x0000_i1027" style="width:0;height:0" o:hralign="center" o:hrstd="t" o:hr="t" fillcolor="#a0a0a0" stroked="f"/>
        </w:pict>
      </w:r>
    </w:p>
    <w:p w14:paraId="59B53FAC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Identification</w:t>
      </w:r>
    </w:p>
    <w:p w14:paraId="19587D55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Primary — Volume Profile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on H4 (100 bars) or Daily (20 sessions):</w:t>
      </w:r>
    </w:p>
    <w:p w14:paraId="72CCE32B" w14:textId="77777777" w:rsidR="00457ABF" w:rsidRPr="00457ABF" w:rsidRDefault="00457ABF" w:rsidP="00457ABF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POC (Point of Control) = highest-volume price — strongest level</w:t>
      </w:r>
    </w:p>
    <w:p w14:paraId="3933D8CA" w14:textId="77777777" w:rsidR="00457ABF" w:rsidRPr="00457ABF" w:rsidRDefault="00457ABF" w:rsidP="00457ABF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VAH (Value Area High) = top of 70% volume distribution — resistance in range</w:t>
      </w:r>
    </w:p>
    <w:p w14:paraId="15109414" w14:textId="77777777" w:rsidR="00457ABF" w:rsidRPr="00457ABF" w:rsidRDefault="00457ABF" w:rsidP="00457ABF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VAL (Value Area Low) = bottom of 70% volume distribution — support in range</w:t>
      </w:r>
    </w:p>
    <w:p w14:paraId="380D7CD0" w14:textId="52A8004D" w:rsidR="00457ABF" w:rsidRDefault="00457ABF" w:rsidP="00457ABF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HVN (High Volume Node) = any cluster &gt;1.5× average volume</w:t>
      </w:r>
    </w:p>
    <w:p w14:paraId="12205FFE" w14:textId="042DDFFE" w:rsidR="000737DB" w:rsidRPr="000737DB" w:rsidRDefault="000737DB" w:rsidP="000737D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val="en-US" w:eastAsia="en-KE"/>
        </w:rPr>
      </w:pPr>
      <w:r>
        <w:rPr>
          <w:rFonts w:ascii="Inter" w:eastAsia="Times New Roman" w:hAnsi="Inter" w:cs="Times New Roman"/>
          <w:color w:val="F4F0EB"/>
          <w:sz w:val="21"/>
          <w:szCs w:val="21"/>
          <w:lang w:val="en-US" w:eastAsia="en-KE"/>
        </w:rPr>
        <w:t xml:space="preserve">We have an indicator: VPFR By Chege, draws automatically </w:t>
      </w:r>
    </w:p>
    <w:p w14:paraId="7879FE37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Mark each level as a zone ±0.5 ATR — not a single line.</w:t>
      </w:r>
    </w:p>
    <w:p w14:paraId="7B1A8F32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Fallback — Price Action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(when volume unavailable). Scan last 400 bars. Valid level requires:</w:t>
      </w:r>
    </w:p>
    <w:p w14:paraId="44F45DE3" w14:textId="77777777" w:rsidR="00457ABF" w:rsidRPr="00457ABF" w:rsidRDefault="00457ABF" w:rsidP="00457ABF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Minimum 3 touches (reversals within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±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0.3 ATR)</w:t>
      </w:r>
    </w:p>
    <w:p w14:paraId="6DC29684" w14:textId="77777777" w:rsidR="00457ABF" w:rsidRPr="00457ABF" w:rsidRDefault="00457ABF" w:rsidP="00457ABF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Touches span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≥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60 bars</w:t>
      </w:r>
    </w:p>
    <w:p w14:paraId="5D1549FA" w14:textId="77777777" w:rsidR="00457ABF" w:rsidRPr="00457ABF" w:rsidRDefault="00457ABF" w:rsidP="00457ABF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Most recent touch within last 100 bars</w:t>
      </w:r>
    </w:p>
    <w:p w14:paraId="14C3D7C3" w14:textId="2C72B537" w:rsid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Zone width: ±0.5 ATR.</w:t>
      </w:r>
    </w:p>
    <w:p w14:paraId="479ECC88" w14:textId="1063B9B7" w:rsidR="002A753F" w:rsidRPr="002A753F" w:rsidRDefault="002A753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val="en-US" w:eastAsia="en-KE"/>
        </w:rPr>
      </w:pPr>
    </w:p>
    <w:p w14:paraId="38390272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2A5323FD">
          <v:rect id="_x0000_i1028" style="width:0;height:0" o:hralign="center" o:hrstd="t" o:hr="t" fillcolor="#a0a0a0" stroked="f"/>
        </w:pict>
      </w:r>
    </w:p>
    <w:p w14:paraId="7E1FA880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1: Bounce — Use when ADX &lt; 20</w:t>
      </w:r>
    </w:p>
    <w:p w14:paraId="1F903595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Entry (Long):</w:t>
      </w:r>
    </w:p>
    <w:p w14:paraId="083B8E7B" w14:textId="77777777" w:rsidR="00DB02D9" w:rsidRPr="00DB02D9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ADX(14) &lt; 20</w:t>
      </w:r>
    </w:p>
    <w:p w14:paraId="6FD5ABB8" w14:textId="77777777" w:rsidR="00DB02D9" w:rsidRPr="00DB02D9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lastRenderedPageBreak/>
        <w:t>✅ Master Bias aligned (long at support) — if neutral, execute strictly at 50% position size.</w:t>
      </w:r>
    </w:p>
    <w:p w14:paraId="7329A408" w14:textId="77777777" w:rsidR="00DB02D9" w:rsidRPr="00DB02D9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Price enters S/R zone and closes at least 1 complete candle inside zone</w:t>
      </w:r>
    </w:p>
    <w:p w14:paraId="1F86C038" w14:textId="77777777" w:rsidR="00DB02D9" w:rsidRPr="00DB02D9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RSI divergence (price makes lower low, RSI makes higher low) OR RSI &lt; 30 (Requires a 20-bar lookback window to confirm institutional structural divergence).</w:t>
      </w:r>
    </w:p>
    <w:p w14:paraId="0F88DAD2" w14:textId="77777777" w:rsidR="00DB02D9" w:rsidRPr="00DB02D9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Volume spike: current candle &gt;1.3× 20-period average (skip if unavailable on FX)</w:t>
      </w:r>
    </w:p>
    <w:p w14:paraId="388F7D4F" w14:textId="6A4A9662" w:rsidR="00457ABF" w:rsidRPr="00DB02D9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 xml:space="preserve">✅ Confirmation candle: Bullish Engulfing, Hammer (lower wick </w:t>
      </w:r>
      <w:r w:rsidRPr="00DB02D9">
        <w:rPr>
          <w:rFonts w:ascii="Arial" w:eastAsia="Times New Roman" w:hAnsi="Arial" w:cs="Arial"/>
          <w:color w:val="F4F0EB"/>
          <w:sz w:val="21"/>
          <w:szCs w:val="21"/>
          <w:lang w:eastAsia="en-KE"/>
        </w:rPr>
        <w:t>≥</w:t>
      </w: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2× body), or Morning Star</w:t>
      </w:r>
    </w:p>
    <w:p w14:paraId="4A780AD0" w14:textId="64B224E1" w:rsidR="00DB02D9" w:rsidRPr="00457ABF" w:rsidRDefault="00DB02D9" w:rsidP="00DB02D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Enter on open of candle after confirmation completes.</w:t>
      </w:r>
    </w:p>
    <w:p w14:paraId="73C701C8" w14:textId="3BD3408F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Short: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Mirror of long — reverse all directions. Use Bearish Engulfing, Shooting Star, or Evening Star.</w:t>
      </w:r>
    </w:p>
    <w:p w14:paraId="349C5DCD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Exit:</w:t>
      </w:r>
    </w:p>
    <w:p w14:paraId="3CD79334" w14:textId="77777777" w:rsidR="00B63756" w:rsidRDefault="00457ABF" w:rsidP="00C4189F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B63756"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Zone extreme + 0.5 ATR buffer beyond (minimum 1.0 ATR from entry) OR utilize a static 2.5 ATR failsafe stop.</w:t>
      </w:r>
    </w:p>
    <w:p w14:paraId="1DC49253" w14:textId="51C3E806" w:rsidR="00B63756" w:rsidRDefault="00457ABF" w:rsidP="00F13DFB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TP1:</w:t>
      </w:r>
      <w:r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B63756"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Next opposing S/R level (Volume Profile node) → close 75%.</w:t>
      </w:r>
    </w:p>
    <w:p w14:paraId="3D486041" w14:textId="2BF9F034" w:rsidR="00B63756" w:rsidRPr="00B63756" w:rsidRDefault="00B63756" w:rsidP="00B63756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</w:t>
      </w:r>
      <w:r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val="en-US" w:eastAsia="en-KE"/>
        </w:rPr>
        <w:t>2</w:t>
      </w: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:</w:t>
      </w:r>
      <w:r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val="en-US" w:eastAsia="en-KE"/>
        </w:rPr>
        <w:t xml:space="preserve"> </w:t>
      </w:r>
      <w:r>
        <w:rPr>
          <w:rFonts w:ascii="Inter" w:eastAsia="Times New Roman" w:hAnsi="Inter" w:cs="Times New Roman"/>
          <w:color w:val="F4F0EB"/>
          <w:sz w:val="21"/>
          <w:szCs w:val="21"/>
          <w:lang w:val="en-US" w:eastAsia="en-KE"/>
        </w:rPr>
        <w:t xml:space="preserve"> </w:t>
      </w:r>
      <w:r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Hard target placed 0.5 ATR beyond opposing S/R level (anticipating a false breakout/liquidity hunt) → close remaining 25%.</w:t>
      </w:r>
    </w:p>
    <w:p w14:paraId="36ECAA31" w14:textId="77777777" w:rsidR="00B63756" w:rsidRDefault="00457ABF" w:rsidP="0079709C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Trail</w:t>
      </w:r>
      <w:r w:rsidR="00B63756" w:rsidRPr="00B63756">
        <w:t xml:space="preserve"> </w:t>
      </w:r>
      <w:r w:rsidR="00B63756"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/Breakeven</w:t>
      </w: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:</w:t>
      </w:r>
      <w:r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B63756" w:rsidRPr="00B63756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="00B63756"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Do NOT move the stop-loss to breakeven at TP1. Retain the initial structural stop, or utilize the static 2.5 ATR failsafe stop.</w:t>
      </w:r>
    </w:p>
    <w:p w14:paraId="05E768A1" w14:textId="24539E4D" w:rsidR="00457ABF" w:rsidRPr="00B63756" w:rsidRDefault="00457ABF" w:rsidP="0079709C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B63756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Time stop:</w:t>
      </w:r>
      <w:r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If TP1 not hit within 8 bars on entry TF → exit at market</w:t>
      </w:r>
    </w:p>
    <w:p w14:paraId="19A58D22" w14:textId="445596A8" w:rsidR="00457ABF" w:rsidRPr="00457ABF" w:rsidRDefault="00457ABF" w:rsidP="00457ABF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Expected R:R: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B63756" w:rsidRPr="00B63756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1:1.1 to 1:1.6 (Blended)</w:t>
      </w:r>
    </w:p>
    <w:p w14:paraId="7F23FE01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ADX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≥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25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trend will break through the level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RSI divergence AND no RSI extreme — insufficient exhaustion signal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Climactic volume at level (&gt;2.5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average)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likely breakout, not reversal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Next opposite S/R closer than stop distance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minimum 1:1 R:R required at TP1</w:t>
      </w:r>
    </w:p>
    <w:p w14:paraId="22D47675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52985C67">
          <v:rect id="_x0000_i1029" style="width:0;height:0" o:hralign="center" o:hrstd="t" o:hr="t" fillcolor="#a0a0a0" stroked="f"/>
        </w:pict>
      </w:r>
    </w:p>
    <w:p w14:paraId="4BD1375A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Breakout Execution Selection</w:t>
      </w:r>
    </w:p>
    <w:p w14:paraId="34455129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When State Classification indicates breakout methods (ADX ≥ 25), calculate the </w:t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Breakout Quality Score (BQS)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at breakout candle close to route to the correct entry method.</w:t>
      </w:r>
    </w:p>
    <w:p w14:paraId="62476716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BQS Scoring (max 11):</w:t>
      </w:r>
    </w:p>
    <w:tbl>
      <w:tblPr>
        <w:tblW w:w="757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5276"/>
        <w:gridCol w:w="477"/>
      </w:tblGrid>
      <w:tr w:rsidR="00457ABF" w:rsidRPr="00457ABF" w14:paraId="7387BE4D" w14:textId="77777777" w:rsidTr="00457ABF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84AA4FC" w14:textId="77777777" w:rsidR="00457ABF" w:rsidRPr="00A401D8" w:rsidRDefault="00457ABF" w:rsidP="00457AB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A401D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lastRenderedPageBreak/>
              <w:t>Factor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2A84A44" w14:textId="77777777" w:rsidR="00457ABF" w:rsidRPr="00A401D8" w:rsidRDefault="00457ABF" w:rsidP="00457AB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A401D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t>Condition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D35C9B3" w14:textId="77777777" w:rsidR="00457ABF" w:rsidRPr="00A401D8" w:rsidRDefault="00457ABF" w:rsidP="00457AB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A401D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t>Pts</w:t>
            </w:r>
          </w:p>
        </w:tc>
      </w:tr>
      <w:tr w:rsidR="00457ABF" w:rsidRPr="00457ABF" w14:paraId="51B87E31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99C8DDA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Volume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5FAC407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≥ 1.5× 20-bar avg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03F2698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+2</w:t>
            </w:r>
          </w:p>
        </w:tc>
      </w:tr>
      <w:tr w:rsidR="00457ABF" w:rsidRPr="00457ABF" w14:paraId="18DFF37C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CE0A00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4626090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≥ 2.0× avg (replaces +2)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D1F67DA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+3</w:t>
            </w:r>
          </w:p>
        </w:tc>
      </w:tr>
      <w:tr w:rsidR="00457ABF" w:rsidRPr="00457ABF" w14:paraId="17419806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28C94FE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Body size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63CAFE9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&gt; 0.75× ATR(14)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1355D1B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+2</w:t>
            </w:r>
          </w:p>
        </w:tc>
      </w:tr>
      <w:tr w:rsidR="00457ABF" w:rsidRPr="00457ABF" w14:paraId="703A9CC8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A71CF08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B20503C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&gt; 1.0× ATR (replaces +2)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1B2B79B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+3</w:t>
            </w:r>
          </w:p>
        </w:tc>
      </w:tr>
      <w:tr w:rsidR="00457ABF" w:rsidRPr="00457ABF" w14:paraId="7F674DF8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39D9F04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Counter-wick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EA27C2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&lt; 25% of candle range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2040602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+2</w:t>
            </w:r>
          </w:p>
        </w:tc>
      </w:tr>
      <w:tr w:rsidR="00457ABF" w:rsidRPr="00457ABF" w14:paraId="3E997B63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9271BBB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RSI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C5F997F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55–70 long / 30–45 short, no divergence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905854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+1</w:t>
            </w:r>
          </w:p>
        </w:tc>
      </w:tr>
      <w:tr w:rsidR="00457ABF" w:rsidRPr="00457ABF" w14:paraId="4904CDB7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11F5BE2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ADX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B14BB8D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Rising and &gt; 25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6BF0E1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+1</w:t>
            </w:r>
          </w:p>
        </w:tc>
      </w:tr>
      <w:tr w:rsidR="00457ABF" w:rsidRPr="00457ABF" w14:paraId="38AD7E82" w14:textId="77777777" w:rsidTr="00457ABF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854C78F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HTF trend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778B03C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Price correct side of 50 EMA one TF up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C0DCE3A" w14:textId="77777777" w:rsidR="00457ABF" w:rsidRPr="00457ABF" w:rsidRDefault="00457ABF" w:rsidP="00457AB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457ABF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+1</w:t>
            </w:r>
          </w:p>
        </w:tc>
      </w:tr>
    </w:tbl>
    <w:p w14:paraId="72DB0961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Routing:</w:t>
      </w:r>
    </w:p>
    <w:p w14:paraId="5803CB5E" w14:textId="77777777" w:rsidR="00457ABF" w:rsidRPr="00457ABF" w:rsidRDefault="00457ABF" w:rsidP="00457ABF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BQS ≥ 7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→ Method 2 (Aggressive Break)</w:t>
      </w:r>
    </w:p>
    <w:p w14:paraId="249DBC2D" w14:textId="77777777" w:rsidR="00457ABF" w:rsidRPr="00457ABF" w:rsidRDefault="00457ABF" w:rsidP="00457ABF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BQS 4–6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→ Method 3 (Conservative Break) — or Hybrid per instrument rules</w:t>
      </w:r>
    </w:p>
    <w:p w14:paraId="5248DAD2" w14:textId="77777777" w:rsidR="00457ABF" w:rsidRPr="00457ABF" w:rsidRDefault="00457ABF" w:rsidP="00457ABF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BQS ≤ 3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→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trade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fakeout probability too high</w:t>
      </w:r>
    </w:p>
    <w:p w14:paraId="4FFF8746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Runaway Override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— forces Aggressive regardless of instrument default or session:</w:t>
      </w:r>
    </w:p>
    <w:p w14:paraId="18F5723B" w14:textId="77777777" w:rsidR="00457ABF" w:rsidRPr="00457ABF" w:rsidRDefault="00457ABF" w:rsidP="00457ABF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Volume ≥ 2.5× avg</w:t>
      </w:r>
    </w:p>
    <w:p w14:paraId="1B2C0732" w14:textId="77777777" w:rsidR="00457ABF" w:rsidRPr="00457ABF" w:rsidRDefault="00457ABF" w:rsidP="00457ABF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lastRenderedPageBreak/>
        <w:t>Body &gt; 1.0× ATR</w:t>
      </w:r>
    </w:p>
    <w:p w14:paraId="031CC0C4" w14:textId="77777777" w:rsidR="00457ABF" w:rsidRPr="00457ABF" w:rsidRDefault="00457ABF" w:rsidP="00457ABF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Counter-wick &lt; 15%</w:t>
      </w:r>
    </w:p>
    <w:p w14:paraId="011BCA24" w14:textId="77777777" w:rsidR="00457ABF" w:rsidRPr="00457ABF" w:rsidRDefault="00457ABF" w:rsidP="00457ABF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RSI 55–70 long / 30–45 short, no divergence</w:t>
      </w:r>
    </w:p>
    <w:p w14:paraId="22267DA1" w14:textId="77777777" w:rsidR="00457ABF" w:rsidRPr="00457ABF" w:rsidRDefault="00457ABF" w:rsidP="00457ABF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Price correct side of 50 EMA one TF up</w:t>
      </w:r>
    </w:p>
    <w:p w14:paraId="39AE5CF4" w14:textId="77777777" w:rsidR="00457ABF" w:rsidRPr="00457ABF" w:rsidRDefault="00457ABF" w:rsidP="00457ABF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ADX rising and &gt; 25</w:t>
      </w:r>
    </w:p>
    <w:p w14:paraId="7130D0AC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→ 5–6 met: </w:t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Aggressive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 4 met: </w:t>
      </w: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Hybrid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 ≤ 3: standard BQS routing</w:t>
      </w:r>
    </w:p>
    <w:p w14:paraId="78C23856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Hybrid execution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(BQS 4–6 on eligible instruments, or 4/6 Runaway conditions):</w:t>
      </w:r>
    </w:p>
    <w:p w14:paraId="4DF84423" w14:textId="77777777" w:rsidR="00457ABF" w:rsidRPr="00457ABF" w:rsidRDefault="00457ABF" w:rsidP="00457ABF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Enter 50% at breakout close using Method 2 stop</w:t>
      </w:r>
    </w:p>
    <w:p w14:paraId="485AC729" w14:textId="77777777" w:rsidR="00457ABF" w:rsidRPr="00457ABF" w:rsidRDefault="00457ABF" w:rsidP="00457ABF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Limit order for remaining 50% at broken S/R zone (Method 3 entry)</w:t>
      </w:r>
    </w:p>
    <w:p w14:paraId="5D973E91" w14:textId="77777777" w:rsidR="00457ABF" w:rsidRPr="00457ABF" w:rsidRDefault="00457ABF" w:rsidP="00457ABF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Retest fills within 10 bars → full position, tighten stop to retest structure</w:t>
      </w:r>
    </w:p>
    <w:p w14:paraId="0E48363E" w14:textId="77777777" w:rsidR="00457ABF" w:rsidRPr="00457ABF" w:rsidRDefault="00457ABF" w:rsidP="00457ABF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No retest within 10 bars → cancel limit, manage 50% position, trail 1.5 ATR</w:t>
      </w:r>
    </w:p>
    <w:p w14:paraId="03559BC7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 overrides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(apply before instrument-specific rules):</w:t>
      </w:r>
    </w:p>
    <w:p w14:paraId="0645DE10" w14:textId="77777777" w:rsidR="00457ABF" w:rsidRPr="00457ABF" w:rsidRDefault="00457ABF" w:rsidP="00457ABF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Last hour of any session: force Conservative unless Runaway Override triggered</w:t>
      </w:r>
    </w:p>
    <w:p w14:paraId="4164CB34" w14:textId="77777777" w:rsidR="00457ABF" w:rsidRPr="00457ABF" w:rsidRDefault="00457ABF" w:rsidP="00457ABF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London first 2 hours (FX/Gold): force Conservative unless BQS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≥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8</w:t>
      </w:r>
    </w:p>
    <w:p w14:paraId="52D456FE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3A1DBDCD">
          <v:rect id="_x0000_i1030" style="width:0;height:0" o:hralign="center" o:hrstd="t" o:hr="t" fillcolor="#a0a0a0" stroked="f"/>
        </w:pict>
      </w:r>
    </w:p>
    <w:p w14:paraId="371A2497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2: Aggressive Break — Use when BQS ≥ 7 or Runaway Override</w:t>
      </w:r>
    </w:p>
    <w:p w14:paraId="00FA984A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Low win rate by design (20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–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40%). Requires minimum 1:3 R:R. Accept frequent small losses for occasional large wins.</w:t>
      </w:r>
    </w:p>
    <w:p w14:paraId="28B103C9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Entry (Long):</w:t>
      </w:r>
    </w:p>
    <w:p w14:paraId="4DB480AF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 xml:space="preserve">✅ ADX(14) </w:t>
      </w:r>
      <w:r w:rsidRPr="00DB02D9">
        <w:rPr>
          <w:rFonts w:ascii="Arial" w:eastAsia="Times New Roman" w:hAnsi="Arial" w:cs="Arial"/>
          <w:color w:val="F4F0EB"/>
          <w:sz w:val="21"/>
          <w:szCs w:val="21"/>
          <w:lang w:eastAsia="en-KE"/>
        </w:rPr>
        <w:t>≥</w:t>
      </w: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 xml:space="preserve"> 25 AND rising (current &gt; previous bar)</w:t>
      </w:r>
    </w:p>
    <w:p w14:paraId="20B98EEB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Master Bias aligned with break direction — if not aligned, ❌ no trade (49% failure rate against trend)</w:t>
      </w:r>
    </w:p>
    <w:p w14:paraId="09ACA2F1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Valid session: FX London/NY/Overlap only | Indices: after first 60 min of cash session</w:t>
      </w:r>
    </w:p>
    <w:p w14:paraId="3EF3BBA9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Candle BODY closes &gt; S/R zone high + 0.3 ATR</w:t>
      </w:r>
    </w:p>
    <w:p w14:paraId="27732082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 xml:space="preserve">✅ Counter-wick </w:t>
      </w:r>
      <w:r w:rsidRPr="00DB02D9">
        <w:rPr>
          <w:rFonts w:ascii="Arial" w:eastAsia="Times New Roman" w:hAnsi="Arial" w:cs="Arial"/>
          <w:color w:val="F4F0EB"/>
          <w:sz w:val="21"/>
          <w:szCs w:val="21"/>
          <w:lang w:eastAsia="en-KE"/>
        </w:rPr>
        <w:t>≤</w:t>
      </w: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 xml:space="preserve"> 30% of candle range</w:t>
      </w:r>
    </w:p>
    <w:p w14:paraId="06B2D41A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Breakout candle volume &gt;1.5× 20-period average. FX without volume: candle range &gt;1.2× average range during London/NY</w:t>
      </w:r>
    </w:p>
    <w:p w14:paraId="15C90907" w14:textId="77777777" w:rsidR="00DB02D9" w:rsidRPr="00DB02D9" w:rsidRDefault="00DB02D9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 RSI(14) &gt; 60</w:t>
      </w:r>
    </w:p>
    <w:p w14:paraId="747D91D5" w14:textId="37E98CBD" w:rsidR="00457ABF" w:rsidRPr="00457ABF" w:rsidRDefault="00457ABF" w:rsidP="00DB02D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Enter on open of next candle, or on close of breakout candle if all filters confirmed</w:t>
      </w:r>
    </w:p>
    <w:p w14:paraId="105099C9" w14:textId="66D8F272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Short: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Mirror of long — reverse all directions. </w:t>
      </w:r>
      <w:r w:rsidR="00DB02D9" w:rsidRPr="00DB02D9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RSI(14) &lt; 40.</w:t>
      </w:r>
    </w:p>
    <w:p w14:paraId="7F285BCE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Exit:</w:t>
      </w:r>
    </w:p>
    <w:p w14:paraId="3C2FEC37" w14:textId="77777777" w:rsidR="00DB02D9" w:rsidRDefault="00457ABF" w:rsidP="00000D1B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B02D9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lastRenderedPageBreak/>
        <w:t>Stop:</w:t>
      </w:r>
      <w:r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candle low − 0.5 ATR (minimum 1.5 ATR floor from entry).</w:t>
      </w:r>
    </w:p>
    <w:p w14:paraId="00CF0BCD" w14:textId="067EB488" w:rsidR="00457ABF" w:rsidRPr="00DB02D9" w:rsidRDefault="00457ABF" w:rsidP="00000D1B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B02D9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TP1:</w:t>
      </w:r>
      <w:r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Entry + 1.5x Initial Risk (Stop Distance) → close 50%.</w:t>
      </w:r>
    </w:p>
    <w:p w14:paraId="22045931" w14:textId="655E3F9C" w:rsidR="00457ABF" w:rsidRPr="00457ABF" w:rsidRDefault="00457ABF" w:rsidP="00457ABF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TP2: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Entry + 3.0x Initial Risk (Stop Distance) → close 25%.</w:t>
      </w:r>
    </w:p>
    <w:p w14:paraId="1BDE7C9A" w14:textId="0400DFAA" w:rsidR="00457ABF" w:rsidRPr="00457ABF" w:rsidRDefault="00457ABF" w:rsidP="00457ABF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Trail (after TP1):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After TP1 is hit, trail the remaining position with a continuous 1.5 ATR trailing stop from the current price.</w:t>
      </w:r>
    </w:p>
    <w:p w14:paraId="415EF015" w14:textId="50C0C0D8" w:rsidR="00457ABF" w:rsidRPr="00457ABF" w:rsidRDefault="00457ABF" w:rsidP="00457ABF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Expected R:R: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r w:rsidR="00DB02D9" w:rsidRPr="00DB02D9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1:1.5 (Base TP1) to 1:3+ (Blended with Runner)</w:t>
      </w:r>
    </w:p>
    <w:p w14:paraId="722D2670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ADX &lt; 20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ranging market, high fakeout rate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Volume &lt; 1.5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 on breakout candle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Counter-wick &gt; 30%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rejection signal, likely fakeout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RSI divergence present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momentum not confirming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Asian session (FX) | First 60 min of cash session (Indices)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Against Master Bias</w:t>
      </w:r>
    </w:p>
    <w:p w14:paraId="49287FE3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220727E8">
          <v:rect id="_x0000_i1031" style="width:0;height:0" o:hralign="center" o:hrstd="t" o:hr="t" fillcolor="#a0a0a0" stroked="f"/>
        </w:pict>
      </w:r>
    </w:p>
    <w:p w14:paraId="31BF0234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3: Conservative Break — Use when BQS 4–6</w:t>
      </w:r>
    </w:p>
    <w:p w14:paraId="07C45D76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Higher win rate than Aggressive Break, but ~35–45% of valid breakouts never retest. Accept lower frequency.</w:t>
      </w:r>
    </w:p>
    <w:p w14:paraId="13421FCF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Entry (Long):</w:t>
      </w:r>
    </w:p>
    <w:p w14:paraId="6ACAF48E" w14:textId="77777777" w:rsidR="00457ABF" w:rsidRPr="00457ABF" w:rsidRDefault="00457ABF" w:rsidP="00457ABF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Valid breakout occurred (all Aggressive Break criteria met, but you did NOT enter)</w:t>
      </w:r>
    </w:p>
    <w:p w14:paraId="0714D9CF" w14:textId="77777777" w:rsidR="00457ABF" w:rsidRPr="00457ABF" w:rsidRDefault="00457ABF" w:rsidP="00457ABF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Price pulls back and re-enters broken zone (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±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0.5 ATR of breakout level) within 10 bars</w:t>
      </w:r>
    </w:p>
    <w:p w14:paraId="45F4952B" w14:textId="77777777" w:rsidR="00457ABF" w:rsidRPr="00457ABF" w:rsidRDefault="00457ABF" w:rsidP="00457ABF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Each pullback candle volume &lt; 0.8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20-period average</w:t>
      </w:r>
    </w:p>
    <w:p w14:paraId="530B6A96" w14:textId="77777777" w:rsidR="00457ABF" w:rsidRPr="00457ABF" w:rsidRDefault="00457ABF" w:rsidP="00457ABF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Confirmation candle at retested zone: Hammer, Bullish Engulfing, or Inside Bar breakout</w:t>
      </w:r>
    </w:p>
    <w:p w14:paraId="7804DFC5" w14:textId="77777777" w:rsidR="00457ABF" w:rsidRPr="00457ABF" w:rsidRDefault="00457ABF" w:rsidP="00457ABF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Enter on open of candle after confirmation completes</w:t>
      </w:r>
    </w:p>
    <w:p w14:paraId="6E097C41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Short: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Mirror of long — reverse all directions.</w:t>
      </w:r>
    </w:p>
    <w:p w14:paraId="7CF0B4D5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Exit:</w:t>
      </w:r>
    </w:p>
    <w:p w14:paraId="39564CE2" w14:textId="77777777" w:rsidR="00457ABF" w:rsidRPr="00457ABF" w:rsidRDefault="00457ABF" w:rsidP="00457ABF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Zone low − 1.0 ATR</w:t>
      </w:r>
    </w:p>
    <w:p w14:paraId="3ED05D88" w14:textId="77777777" w:rsidR="00457ABF" w:rsidRPr="00457ABF" w:rsidRDefault="00457ABF" w:rsidP="00457ABF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TP1: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Entry + 2.5 ATR → close 50%, move stop to breakeven</w:t>
      </w:r>
    </w:p>
    <w:p w14:paraId="5AA105AB" w14:textId="77777777" w:rsidR="00457ABF" w:rsidRPr="00457ABF" w:rsidRDefault="00457ABF" w:rsidP="00457ABF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TP2: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Entry + 4.0 ATR → close remainder</w:t>
      </w:r>
    </w:p>
    <w:p w14:paraId="6E635419" w14:textId="77777777" w:rsidR="00457ABF" w:rsidRPr="00457ABF" w:rsidRDefault="00457ABF" w:rsidP="00457ABF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Trail (after TP1):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2.0 ATR from current price</w:t>
      </w:r>
    </w:p>
    <w:p w14:paraId="739E4142" w14:textId="77777777" w:rsidR="00457ABF" w:rsidRPr="00457ABF" w:rsidRDefault="00457ABF" w:rsidP="00457ABF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Expected R:R: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1:2 to 1:3</w:t>
      </w:r>
    </w:p>
    <w:p w14:paraId="193A7CB0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retest within 10 bars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abandon setup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High-volume pullback (&gt;1.0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average)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 may be failing, evaluate Failed Fade instead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Price closes back through zone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 failed</w:t>
      </w:r>
    </w:p>
    <w:p w14:paraId="73CE1B37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0792BF3C">
          <v:rect id="_x0000_i1032" style="width:0;height:0" o:hralign="center" o:hrstd="t" o:hr="t" fillcolor="#a0a0a0" stroked="f"/>
        </w:pict>
      </w:r>
    </w:p>
    <w:p w14:paraId="44F6FE6C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lastRenderedPageBreak/>
        <w:t>Method 4: Failed Retest Fade — Use when Conservative Break setup fails</w:t>
      </w:r>
    </w:p>
    <w:p w14:paraId="528B4F5F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Institutional trap reversal. Rare (1–2/week) but high reward.</w:t>
      </w:r>
    </w:p>
    <w:p w14:paraId="4570DD0F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Entry:</w:t>
      </w:r>
    </w:p>
    <w:p w14:paraId="15DD515B" w14:textId="77777777" w:rsidR="00457ABF" w:rsidRPr="00457ABF" w:rsidRDefault="00457ABF" w:rsidP="00457ABF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Valid breakout occurred (per Aggressive Break criteria)</w:t>
      </w:r>
    </w:p>
    <w:p w14:paraId="6686DFC8" w14:textId="77777777" w:rsidR="00457ABF" w:rsidRPr="00457ABF" w:rsidRDefault="00457ABF" w:rsidP="00457ABF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Retest began (price returned to zone)</w:t>
      </w:r>
    </w:p>
    <w:p w14:paraId="5F43DFAF" w14:textId="77777777" w:rsidR="00457ABF" w:rsidRPr="00457ABF" w:rsidRDefault="00457ABF" w:rsidP="00457ABF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High-volume pullback: volume &gt;1.2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 on pullback candle</w:t>
      </w:r>
    </w:p>
    <w:p w14:paraId="49E92938" w14:textId="77777777" w:rsidR="00457ABF" w:rsidRPr="00457ABF" w:rsidRDefault="00457ABF" w:rsidP="00457ABF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Price closes BACK INSIDE the original range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trap confirmed</w:t>
      </w:r>
    </w:p>
    <w:p w14:paraId="10DF31B9" w14:textId="77777777" w:rsidR="00457ABF" w:rsidRPr="00457ABF" w:rsidRDefault="00457ABF" w:rsidP="00457ABF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Enter opposite direction: failed bullish break → SHORT below original resistance | failed bearish break → LONG above original support</w:t>
      </w:r>
    </w:p>
    <w:p w14:paraId="5D833AA8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Exit:</w:t>
      </w:r>
    </w:p>
    <w:p w14:paraId="0E6E1E91" w14:textId="77777777" w:rsidR="00457ABF" w:rsidRPr="00457ABF" w:rsidRDefault="00457ABF" w:rsidP="00457ABF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Trap extreme + 1.0 ATR. Trap extreme = highest high (entering short) or lowest low (entering long) of all candles from breakout candle through re-entry candle</w:t>
      </w:r>
    </w:p>
    <w:p w14:paraId="31976ADB" w14:textId="77777777" w:rsidR="00457ABF" w:rsidRPr="00457ABF" w:rsidRDefault="00457ABF" w:rsidP="00457ABF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Target: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Opposite side of original range (mean reversion)</w:t>
      </w:r>
    </w:p>
    <w:p w14:paraId="18EB26A8" w14:textId="77777777" w:rsidR="00457ABF" w:rsidRPr="00457ABF" w:rsidRDefault="00457ABF" w:rsidP="00457ABF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Expected R:R: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1:3 to 1:5</w:t>
      </w:r>
    </w:p>
    <w:p w14:paraId="1036BF5E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high-volume pullback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not an institutional trap, just a weak retest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Price re-breaks in original direction before target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exit immediately</w:t>
      </w:r>
    </w:p>
    <w:p w14:paraId="1F5845CD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23BF0D02">
          <v:rect id="_x0000_i1033" style="width:0;height:0" o:hralign="center" o:hrstd="t" o:hr="t" fillcolor="#a0a0a0" stroked="f"/>
        </w:pict>
      </w:r>
    </w:p>
    <w:p w14:paraId="187A9C59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Universal Conditions</w:t>
      </w:r>
    </w:p>
    <w:p w14:paraId="32CCB1C3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ADX 20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–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25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—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transitional, unclear regime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Within 60 min of major news (NFP, FOMC, CPI, central bank decisions)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Abnormally wide spreads (&gt;2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normal)</w:t>
      </w:r>
    </w:p>
    <w:p w14:paraId="71CC5EDA" w14:textId="77777777" w:rsidR="00457ABF" w:rsidRPr="00457ABF" w:rsidRDefault="00BC1A2E" w:rsidP="00457ABF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7362BFA5">
          <v:rect id="_x0000_i1034" style="width:0;height:0" o:hralign="center" o:hrstd="t" o:hr="t" fillcolor="#a0a0a0" stroked="f"/>
        </w:pict>
      </w:r>
    </w:p>
    <w:p w14:paraId="485FC94E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457ABF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Instruments</w:t>
      </w:r>
    </w:p>
    <w:p w14:paraId="1DBA95C5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Forex: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Primary instruments. All parameters as stated above. Use candle range &gt;1.2× average as volume proxy when tick volume unavailable. Asian session: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breakouts |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bounces acceptable on JPY pairs only. Breakout routing: standard BQS thresholds. EUR pairs at BQS 4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–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6 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Conservative (retest rate ~65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–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70% makes Hybrid unnecessary).</w:t>
      </w:r>
    </w:p>
    <w:p w14:paraId="1A1077A4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Gold (XAUUSD):</w:t>
      </w:r>
    </w:p>
    <w:p w14:paraId="04CA9697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lastRenderedPageBreak/>
        <w:t>Volume Profile source: Use COMEX Gold Futures (GC) data for POC/VAH/VAL. Map levels to spot chart. Do not rely on spot tick volume</w:t>
      </w:r>
    </w:p>
    <w:p w14:paraId="6AFFC152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Zone width: ±0.75 ATR (H1/H4) | ±1.0 ATR (Daily) — Gold wicks routinely overshoot standard zones</w:t>
      </w:r>
    </w:p>
    <w:p w14:paraId="70A855E8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ADX thresholds shifted: Ranging &lt; 22 | Transitional 22–24 | Trending ≥ 24</w:t>
      </w:r>
    </w:p>
    <w:p w14:paraId="04F48D83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Bounce stops: zone extreme + 0.75 ATR buffer (typically 1.5–2.0 ATR from entry). Gold sweeps through S/R aggressively. Reduce position size proportionally</w:t>
      </w:r>
    </w:p>
    <w:p w14:paraId="34E5812E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separation: Body must close 0.5 ATR beyond zone (not 0.3)</w:t>
      </w:r>
    </w:p>
    <w:p w14:paraId="63998A17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routing: BQS 4–6 → Hybrid (retest rate ~55–65%; runaway risk justifies half-position capture). Standard BQS ≥ 7 for Aggressive</w:t>
      </w:r>
    </w:p>
    <w:p w14:paraId="14538008" w14:textId="77777777" w:rsidR="00457ABF" w:rsidRPr="00457ABF" w:rsidRDefault="00457ABF" w:rsidP="00457ABF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Sessions: Asian 00:00–08:00 GMT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Bounce only (clean mean reversion, 75</w:t>
      </w:r>
      <w:r w:rsidRPr="00457ABF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–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85% win rate) | London/NY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 methods per BQS routing</w:t>
      </w:r>
    </w:p>
    <w:p w14:paraId="6263670E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Silver (XAGUSD):</w:t>
      </w:r>
    </w:p>
    <w:p w14:paraId="1A756E1D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Volume Profile source: Use COMEX Silver Futures (SI) data. Anchor profiles to London/NY sessions only — Asian SI volume is too thin for reliable POC/VAH/VAL. Discard any HVN built on sub-1.5× average volume</w:t>
      </w:r>
    </w:p>
    <w:p w14:paraId="260E02D6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Zone width: ±1.25 ATR (H1/H4) — Silver wicks overshoot more aggressively than Gold (typical overshoot 2.0–2.5 ATR at major S/R). Merge nearby levels within 0.75 ATR proximity to reduce noise</w:t>
      </w:r>
    </w:p>
    <w:p w14:paraId="028F9D58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ADX thresholds shifted further: Ranging &lt; 24 | Transitional 24–26 | Trending ≥ 26 — Silver's high base volatility inflates ADX readings above Gold's</w:t>
      </w:r>
    </w:p>
    <w:p w14:paraId="5A93E506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Bounce stops: zone extreme + 1.0 ATR buffer (typically 2.0–2.5 ATR from entry). Silver sweeps are deepest of all metals. Reduce position size to maintain constant dollar risk</w:t>
      </w:r>
    </w:p>
    <w:p w14:paraId="76C60FE3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separation: Body must close 0.7 ATR beyond zone (not 0.5) — Silver has the highest false breakout rate among precious metals</w:t>
      </w:r>
    </w:p>
    <w:p w14:paraId="275C8036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routing: Lower Aggressive threshold to BQS ≥ 6 — Silver's high runaway rate justifies earlier Aggressive commitment. BQS filters compensate for elevated fakeout risk</w:t>
      </w:r>
    </w:p>
    <w:p w14:paraId="22AF5E20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Sessions: Asian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all methods (too illiquid) | London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Bounce (fade Asian session liquidity sweeps) | NY Overlap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Breakout</w:t>
      </w:r>
    </w:p>
    <w:p w14:paraId="3CBAC88B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Spread filter: Skip any trade if current spread &gt; 10% of target ATR distance</w:t>
      </w:r>
    </w:p>
    <w:p w14:paraId="64AC4AF2" w14:textId="77777777" w:rsidR="00457ABF" w:rsidRPr="00457ABF" w:rsidRDefault="00457ABF" w:rsidP="00457ABF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Gold/Silver ratio override: Ratio &gt; 85 → long only, disable all shorts | Ratio 70–85 → standard operations | Ratio &lt; 70 → short only, disable all longs</w:t>
      </w:r>
    </w:p>
    <w:p w14:paraId="40C40692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Oil (USOIL/WTI):</w:t>
      </w:r>
    </w:p>
    <w:p w14:paraId="3B3CF504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Volume Profile source: Use NYMEX WTI Futures (CL) data for POC/VAH/VAL. Anchor profiles to RTH 09:00–14:30 ET only — overnight Globex volume distorts institutional levels. Do not rely on CFD tick volume</w:t>
      </w:r>
    </w:p>
    <w:p w14:paraId="2C907C76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Zone width: ±0.7–1.0 ATR. If a volume-derived level falls within 0.3 ATR of a psychological integer ($65, $70, $75, $80), extend zone to encompass the round number — options-driven gamma pinning concentrates stop-hunts at these strikes</w:t>
      </w:r>
    </w:p>
    <w:p w14:paraId="3E0384D2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ADX thresholds shifted: Ranging &lt; 24 | Transitional 24–30 (stand aside) | Trending ≥ 30 — Oil's baseline volatility inflates ADX well above Forex norms</w:t>
      </w:r>
    </w:p>
    <w:p w14:paraId="280B50D8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Bounce stops: zone extreme + 0.75 ATR buffer (typically 1.5–2.0 ATR from entry). Reduce position size proportionally</w:t>
      </w:r>
    </w:p>
    <w:p w14:paraId="55293F2A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separation: Body must close 0.5 ATR beyond zone (not 0.3)</w:t>
      </w:r>
    </w:p>
    <w:p w14:paraId="2A692027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lastRenderedPageBreak/>
        <w:t>Breakout routing: NYMEX RTH → standard BQS routing (Aggressive viable at BQS ≥ 7). Electronic session (14:30–09:00 ET) → force Conservative regardless of BQS unless Runaway Override triggered</w:t>
      </w:r>
    </w:p>
    <w:p w14:paraId="1E032F3E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Sessions: NYMEX RTH 09:00–14:30 ET primary window | Asian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all breakouts |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Bounces only (fade range extremes with tight targets)</w:t>
      </w:r>
    </w:p>
    <w:p w14:paraId="7B382467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Inventory buffer: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entries 60 min before or 30 min after EIA release (Wed 10:30 ET) or API release (Tue 16:30 ET). Cancel all pending orders before buffer begins</w:t>
      </w:r>
    </w:p>
    <w:p w14:paraId="33D97D2D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OPEC override: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Suspend all trading before scheduled OPEC+ ministerial meetings. During acute geopolitical escalation, disable all counter-trend bounce setups</w:t>
      </w:r>
    </w:p>
    <w:p w14:paraId="39A407A2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Contract roll: At monthly CL roll, adjust all historical S/R levels by the exact roll gap amount. Alternatively, use back-adjusted CL futures charts for S/R mapping</w:t>
      </w:r>
    </w:p>
    <w:p w14:paraId="64C594FC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Spread filter: Skip any trade if current spread &gt; 5% of daily ATR</w:t>
      </w:r>
    </w:p>
    <w:p w14:paraId="0AF17E29" w14:textId="77777777" w:rsidR="00457ABF" w:rsidRPr="00457ABF" w:rsidRDefault="00457ABF" w:rsidP="00457ABF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Seasonal override: If EIA reports 4+ consecutive weekly builds exceeding consensus → reduce long bias 50% or permit shorts regardless of Master Bias until draw cycle resumes</w:t>
      </w:r>
    </w:p>
    <w:p w14:paraId="6D81B2F9" w14:textId="77777777" w:rsidR="00457ABF" w:rsidRPr="00457ABF" w:rsidRDefault="00457ABF" w:rsidP="00457ABF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Index CFDs (S&amp;P 500, Nasdaq, Dow):</w:t>
      </w:r>
    </w:p>
    <w:p w14:paraId="23BBF09F" w14:textId="77777777" w:rsidR="00457ABF" w:rsidRPr="00457ABF" w:rsidRDefault="00457ABF" w:rsidP="00457ABF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Opening range: </w:t>
      </w:r>
      <w:r w:rsidRPr="00457ABF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entries during first 60 minutes of cash session</w:t>
      </w:r>
    </w:p>
    <w:p w14:paraId="7C0AC878" w14:textId="77777777" w:rsidR="00457ABF" w:rsidRPr="00457ABF" w:rsidRDefault="00457ABF" w:rsidP="00457ABF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Overnight gaps: Gap &lt;1% through S/R zone → do not treat as valid breakout (90% fill probability). Wait for retest or fade. Gap &gt;2% with heavy volume → valid breakout, enter on continuation</w:t>
      </w:r>
    </w:p>
    <w:p w14:paraId="44B99316" w14:textId="77777777" w:rsidR="00457ABF" w:rsidRPr="00457ABF" w:rsidRDefault="00457ABF" w:rsidP="00457ABF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Volume threshold: 1.5× confirmed optimal. Do not raise to 2.0×</w:t>
      </w:r>
    </w:p>
    <w:p w14:paraId="1E4C97A0" w14:textId="77777777" w:rsidR="00457ABF" w:rsidRPr="00457ABF" w:rsidRDefault="00457ABF" w:rsidP="00457ABF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Round numbers (5000 SPX, 20000 NQ, 40000 DJI): Widen zone asymmetrically. For Bounce entries, front-run the round number. Place stops beyond to clear institutional stop-hunts</w:t>
      </w:r>
    </w:p>
    <w:p w14:paraId="7B61866D" w14:textId="77777777" w:rsidR="00457ABF" w:rsidRPr="00457ABF" w:rsidRDefault="00457ABF" w:rsidP="00457ABF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Bounce management: Close any trailing bounce remainder before session close — overnight gap risk invalidates structural trailing stops</w:t>
      </w:r>
    </w:p>
    <w:p w14:paraId="45F7A5F5" w14:textId="317371DC" w:rsidR="00D01B73" w:rsidRDefault="00457ABF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457ABF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Breakout routing: S&amp;P 500 at BQS 4–6 → Conservative (heavy arbitrage, retest rate ~60–70%). Nasdaq at BQS 4–6 → Hybrid (more momentum-driven, higher runaway rate)</w:t>
      </w:r>
    </w:p>
    <w:p w14:paraId="2C3AF8EB" w14:textId="77777777" w:rsidR="00D01B73" w:rsidRPr="00D01B73" w:rsidRDefault="00D01B73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01B73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"VIX overlay (P19 Risk Scaling):</w:t>
      </w:r>
    </w:p>
    <w:p w14:paraId="6D6C22EA" w14:textId="77777777" w:rsidR="00D01B73" w:rsidRPr="00D01B73" w:rsidRDefault="00D01B73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01B73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VIX &lt; 16 → Raise Aggressive BQS to ≥ 8, tighter stops, standard volume routing.</w:t>
      </w:r>
    </w:p>
    <w:p w14:paraId="68845926" w14:textId="77777777" w:rsidR="00D01B73" w:rsidRPr="00D01B73" w:rsidRDefault="00D01B73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01B73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VIX 16–20 → Standard BQS routing, standard risk and sizing.</w:t>
      </w:r>
    </w:p>
    <w:p w14:paraId="385D079B" w14:textId="77777777" w:rsidR="00D01B73" w:rsidRPr="00D01B73" w:rsidRDefault="00D01B73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01B73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VIX 20–30 → Lower Aggressive BQS to ≥ 6, reduce size to 50%, widen stops.</w:t>
      </w:r>
    </w:p>
    <w:p w14:paraId="63F9A85D" w14:textId="77777777" w:rsidR="00D01B73" w:rsidRPr="00D01B73" w:rsidRDefault="00D01B73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01B73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VIX 30–40 → Reduce size to 25%, Hybrid or Conservative entries only.</w:t>
      </w:r>
    </w:p>
    <w:p w14:paraId="192C18A8" w14:textId="1C1A508E" w:rsidR="00794838" w:rsidRPr="00D01B73" w:rsidRDefault="00D01B73" w:rsidP="00D01B73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01B73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VIX &gt; 40 → Bounce only at major HTF levels with minimum size — suspend all breakout trading."</w:t>
      </w:r>
    </w:p>
    <w:p w14:paraId="2C7B8C62" w14:textId="77777777" w:rsidR="00DF6348" w:rsidRPr="00DF6348" w:rsidRDefault="00DF6348" w:rsidP="00DF63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b/>
          <w:bCs/>
          <w:color w:val="F4F0EB"/>
          <w:sz w:val="21"/>
          <w:szCs w:val="21"/>
          <w:lang w:eastAsia="en-KE"/>
        </w:rPr>
      </w:pPr>
      <w:r w:rsidRPr="00DF6348">
        <w:rPr>
          <w:rFonts w:ascii="Inter" w:eastAsia="Times New Roman" w:hAnsi="Inter" w:cs="Times New Roman"/>
          <w:b/>
          <w:bCs/>
          <w:color w:val="F4F0EB"/>
          <w:sz w:val="21"/>
          <w:szCs w:val="21"/>
          <w:lang w:eastAsia="en-KE"/>
        </w:rPr>
        <w:t xml:space="preserve">Appendix A: </w:t>
      </w:r>
    </w:p>
    <w:p w14:paraId="61516D13" w14:textId="0889E0A3" w:rsidR="00DF6348" w:rsidRPr="00DF6348" w:rsidRDefault="00DF6348" w:rsidP="00DF63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F63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Setup &amp; Installation Recommended Ticker Symbols for Indices Volume Sourcing:</w:t>
      </w:r>
    </w:p>
    <w:p w14:paraId="0BD24C32" w14:textId="77777777" w:rsidR="00DF6348" w:rsidRPr="00DF6348" w:rsidRDefault="00DF6348" w:rsidP="00DF63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F63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ES1! — S&amp;P 500 E-mini Futures</w:t>
      </w:r>
    </w:p>
    <w:p w14:paraId="1DC1C8EC" w14:textId="77777777" w:rsidR="00DF6348" w:rsidRPr="00DF6348" w:rsidRDefault="00DF6348" w:rsidP="00DF63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F63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NQ1! — Nasdaq 100 E-mini Futures</w:t>
      </w:r>
    </w:p>
    <w:p w14:paraId="2E45C666" w14:textId="77777777" w:rsidR="00DF6348" w:rsidRPr="00DF6348" w:rsidRDefault="00DF6348" w:rsidP="00DF63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DF63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YM1! — Dow Jones E-mini Futures</w:t>
      </w:r>
    </w:p>
    <w:p w14:paraId="0D9235A6" w14:textId="77777777" w:rsidR="000737DB" w:rsidRPr="00457ABF" w:rsidRDefault="000737DB" w:rsidP="000737D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</w:p>
    <w:p w14:paraId="554F37AF" w14:textId="0BD5BAEF" w:rsidR="00CC0F42" w:rsidRPr="00CC0F42" w:rsidRDefault="00CC0F42" w:rsidP="00D2450B">
      <w:pPr>
        <w:pStyle w:val="ListParagraph"/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Style w:val="Strong"/>
          <w:rFonts w:ascii="Inter" w:hAnsi="Inter"/>
          <w:color w:val="F4F0EB"/>
          <w:sz w:val="21"/>
          <w:szCs w:val="21"/>
          <w:bdr w:val="single" w:sz="2" w:space="0" w:color="E5E7EB" w:frame="1"/>
          <w:shd w:val="clear" w:color="auto" w:fill="252523"/>
          <w:lang w:val="en-US"/>
        </w:rPr>
        <w:t>R</w:t>
      </w:r>
      <w:r>
        <w:rPr>
          <w:rStyle w:val="Strong"/>
          <w:rFonts w:ascii="Inter" w:hAnsi="Inter"/>
          <w:color w:val="F4F0EB"/>
          <w:sz w:val="21"/>
          <w:szCs w:val="21"/>
          <w:bdr w:val="single" w:sz="2" w:space="0" w:color="E5E7EB" w:frame="1"/>
          <w:shd w:val="clear" w:color="auto" w:fill="252523"/>
        </w:rPr>
        <w:t>esearch basis:</w:t>
      </w:r>
      <w:r>
        <w:rPr>
          <w:rFonts w:ascii="Inter" w:hAnsi="Inter"/>
          <w:color w:val="F4F0EB"/>
          <w:sz w:val="21"/>
          <w:szCs w:val="21"/>
          <w:shd w:val="clear" w:color="auto" w:fill="252523"/>
        </w:rPr>
        <w:t xml:space="preserve"> Bulkowski large-sample breakout/retest analysis (n=12,000+ patterns); S&amp;P 500 triangle breakout volume study (n=523); GBP/USD ADX filter backtesting (Linc-Lund); 15-year Nasdaq 1-minute session data; KJ Trading Systems 567K-backtest exit study. Confidence levels range from High (Bulkowski retest/volume data) to Low-Medium </w:t>
      </w:r>
      <w:r>
        <w:rPr>
          <w:rFonts w:ascii="Inter" w:hAnsi="Inter"/>
          <w:color w:val="F4F0EB"/>
          <w:sz w:val="21"/>
          <w:szCs w:val="21"/>
          <w:shd w:val="clear" w:color="auto" w:fill="252523"/>
        </w:rPr>
        <w:lastRenderedPageBreak/>
        <w:t>(instrument-specific win rates). BQS thresholds are empirically grounded starting points — validate through 100+ trades per instrument before live deployment.</w:t>
      </w:r>
    </w:p>
    <w:sectPr w:rsidR="00CC0F42" w:rsidRPr="00CC0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Inter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251" style="width:0;height:0" o:hralign="center" o:bullet="t" o:hrstd="t" o:hr="t" fillcolor="#a0a0a0" stroked="f"/>
    </w:pict>
  </w:numPicBullet>
  <w:abstractNum w:abstractNumId="0" w15:restartNumberingAfterBreak="0">
    <w:nsid w:val="138A52DD"/>
    <w:multiLevelType w:val="hybridMultilevel"/>
    <w:tmpl w:val="75C6CAC0"/>
    <w:lvl w:ilvl="0" w:tplc="DC7076E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E3235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04A58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1E56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7C139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6EA80F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144ED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430C2B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4ACBA1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9285972"/>
    <w:multiLevelType w:val="multilevel"/>
    <w:tmpl w:val="6070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9C41C21"/>
    <w:multiLevelType w:val="multilevel"/>
    <w:tmpl w:val="8AEE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A64B83"/>
    <w:multiLevelType w:val="multilevel"/>
    <w:tmpl w:val="5946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FDE33A8"/>
    <w:multiLevelType w:val="multilevel"/>
    <w:tmpl w:val="BFF2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4C55829"/>
    <w:multiLevelType w:val="multilevel"/>
    <w:tmpl w:val="BB1E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D72C0F"/>
    <w:multiLevelType w:val="multilevel"/>
    <w:tmpl w:val="FE082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474B34"/>
    <w:multiLevelType w:val="multilevel"/>
    <w:tmpl w:val="BD5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397900"/>
    <w:multiLevelType w:val="multilevel"/>
    <w:tmpl w:val="AC249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10A30"/>
    <w:multiLevelType w:val="multilevel"/>
    <w:tmpl w:val="17E8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94141FD"/>
    <w:multiLevelType w:val="multilevel"/>
    <w:tmpl w:val="780A8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B41701"/>
    <w:multiLevelType w:val="multilevel"/>
    <w:tmpl w:val="6FA2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6538D7"/>
    <w:multiLevelType w:val="multilevel"/>
    <w:tmpl w:val="8B38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3509D5"/>
    <w:multiLevelType w:val="multilevel"/>
    <w:tmpl w:val="D048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12C1AB6"/>
    <w:multiLevelType w:val="multilevel"/>
    <w:tmpl w:val="D4346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692902"/>
    <w:multiLevelType w:val="multilevel"/>
    <w:tmpl w:val="DA16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E962AD"/>
    <w:multiLevelType w:val="multilevel"/>
    <w:tmpl w:val="B652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CE9702C"/>
    <w:multiLevelType w:val="multilevel"/>
    <w:tmpl w:val="2078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0222576"/>
    <w:multiLevelType w:val="multilevel"/>
    <w:tmpl w:val="C834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8F118A5"/>
    <w:multiLevelType w:val="multilevel"/>
    <w:tmpl w:val="5E86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92004D3"/>
    <w:multiLevelType w:val="multilevel"/>
    <w:tmpl w:val="68F4D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644C1E"/>
    <w:multiLevelType w:val="multilevel"/>
    <w:tmpl w:val="AD8C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B6945AC"/>
    <w:multiLevelType w:val="multilevel"/>
    <w:tmpl w:val="119A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18"/>
  </w:num>
  <w:num w:numId="3">
    <w:abstractNumId w:val="2"/>
  </w:num>
  <w:num w:numId="4">
    <w:abstractNumId w:val="6"/>
  </w:num>
  <w:num w:numId="5">
    <w:abstractNumId w:val="9"/>
  </w:num>
  <w:num w:numId="6">
    <w:abstractNumId w:val="7"/>
  </w:num>
  <w:num w:numId="7">
    <w:abstractNumId w:val="20"/>
  </w:num>
  <w:num w:numId="8">
    <w:abstractNumId w:val="19"/>
  </w:num>
  <w:num w:numId="9">
    <w:abstractNumId w:val="12"/>
  </w:num>
  <w:num w:numId="10">
    <w:abstractNumId w:val="14"/>
  </w:num>
  <w:num w:numId="11">
    <w:abstractNumId w:val="13"/>
  </w:num>
  <w:num w:numId="12">
    <w:abstractNumId w:val="8"/>
  </w:num>
  <w:num w:numId="13">
    <w:abstractNumId w:val="17"/>
  </w:num>
  <w:num w:numId="14">
    <w:abstractNumId w:val="10"/>
  </w:num>
  <w:num w:numId="15">
    <w:abstractNumId w:val="4"/>
  </w:num>
  <w:num w:numId="16">
    <w:abstractNumId w:val="22"/>
  </w:num>
  <w:num w:numId="17">
    <w:abstractNumId w:val="1"/>
  </w:num>
  <w:num w:numId="18">
    <w:abstractNumId w:val="21"/>
  </w:num>
  <w:num w:numId="19">
    <w:abstractNumId w:val="11"/>
  </w:num>
  <w:num w:numId="20">
    <w:abstractNumId w:val="5"/>
  </w:num>
  <w:num w:numId="21">
    <w:abstractNumId w:val="16"/>
  </w:num>
  <w:num w:numId="22">
    <w:abstractNumId w:val="0"/>
  </w:num>
  <w:num w:numId="23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9F"/>
    <w:rsid w:val="00057DB2"/>
    <w:rsid w:val="000737DB"/>
    <w:rsid w:val="0015164F"/>
    <w:rsid w:val="001634CB"/>
    <w:rsid w:val="00172992"/>
    <w:rsid w:val="00234199"/>
    <w:rsid w:val="00240688"/>
    <w:rsid w:val="00291F97"/>
    <w:rsid w:val="002A753F"/>
    <w:rsid w:val="00324A54"/>
    <w:rsid w:val="00457ABF"/>
    <w:rsid w:val="006B32CF"/>
    <w:rsid w:val="00794838"/>
    <w:rsid w:val="00890DEF"/>
    <w:rsid w:val="008F1D9D"/>
    <w:rsid w:val="00962E9F"/>
    <w:rsid w:val="00A161D5"/>
    <w:rsid w:val="00A254ED"/>
    <w:rsid w:val="00A401D8"/>
    <w:rsid w:val="00B63756"/>
    <w:rsid w:val="00BC1A2E"/>
    <w:rsid w:val="00C71F16"/>
    <w:rsid w:val="00C73D97"/>
    <w:rsid w:val="00CA0F14"/>
    <w:rsid w:val="00CB3F82"/>
    <w:rsid w:val="00CC0F42"/>
    <w:rsid w:val="00D01B73"/>
    <w:rsid w:val="00D2450B"/>
    <w:rsid w:val="00D87BB4"/>
    <w:rsid w:val="00D92D67"/>
    <w:rsid w:val="00DB02D9"/>
    <w:rsid w:val="00DF6348"/>
    <w:rsid w:val="00EF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FBF03"/>
  <w15:chartTrackingRefBased/>
  <w15:docId w15:val="{6C973F6C-BA0A-4EBA-9E72-4EFC7CE5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4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2A75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K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4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753F"/>
    <w:rPr>
      <w:rFonts w:ascii="Times New Roman" w:eastAsia="Times New Roman" w:hAnsi="Times New Roman" w:cs="Times New Roman"/>
      <w:b/>
      <w:bCs/>
      <w:sz w:val="27"/>
      <w:szCs w:val="27"/>
      <w:lang w:val="en-KE" w:eastAsia="en-KE"/>
    </w:rPr>
  </w:style>
  <w:style w:type="paragraph" w:styleId="NormalWeb">
    <w:name w:val="Normal (Web)"/>
    <w:basedOn w:val="Normal"/>
    <w:uiPriority w:val="99"/>
    <w:semiHidden/>
    <w:unhideWhenUsed/>
    <w:rsid w:val="002A7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character" w:styleId="Strong">
    <w:name w:val="Strong"/>
    <w:basedOn w:val="DefaultParagraphFont"/>
    <w:uiPriority w:val="22"/>
    <w:qFormat/>
    <w:rsid w:val="002A75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75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CC0F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239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323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718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3720969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452113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832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29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748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636420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421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62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226152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1263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47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79310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1249</TotalTime>
  <Pages>10</Pages>
  <Words>2297</Words>
  <Characters>13099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Chege</dc:creator>
  <cp:keywords/>
  <dc:description/>
  <cp:lastModifiedBy>Edwin Chege</cp:lastModifiedBy>
  <cp:revision>15</cp:revision>
  <dcterms:created xsi:type="dcterms:W3CDTF">2026-02-27T12:59:00Z</dcterms:created>
  <dcterms:modified xsi:type="dcterms:W3CDTF">2026-05-04T10:37:00Z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8f173022-e94a-42b3-b7c4-da5291814265</vt:lpwstr>
  </property>
</Properties>
</file>