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944CF" w14:textId="77777777" w:rsidR="00C2308C" w:rsidRPr="00C2308C" w:rsidRDefault="00C2308C" w:rsidP="00C2308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0"/>
        <w:rPr>
          <w:rFonts w:ascii="system-ui" w:eastAsia="Times New Roman" w:hAnsi="system-ui" w:cs="Times New Roman"/>
          <w:b/>
          <w:bCs/>
          <w:color w:val="FFFFFF"/>
          <w:spacing w:val="-6"/>
          <w:kern w:val="36"/>
          <w:sz w:val="51"/>
          <w:szCs w:val="51"/>
          <w:lang w:eastAsia="en-KE"/>
        </w:rPr>
      </w:pPr>
      <w:r w:rsidRPr="00C2308C">
        <w:rPr>
          <w:rFonts w:ascii="system-ui" w:eastAsia="Times New Roman" w:hAnsi="system-ui" w:cs="Times New Roman"/>
          <w:b/>
          <w:bCs/>
          <w:color w:val="FFFFFF"/>
          <w:spacing w:val="-6"/>
          <w:kern w:val="36"/>
          <w:sz w:val="51"/>
          <w:szCs w:val="51"/>
          <w:lang w:eastAsia="en-KE"/>
        </w:rPr>
        <w:t>MARKET REGIME CLASSIFICATION FRAMEWORK</w:t>
      </w:r>
    </w:p>
    <w:p w14:paraId="76D1A0BF" w14:textId="77777777" w:rsidR="00C2308C" w:rsidRPr="00C2308C" w:rsidRDefault="00C2308C" w:rsidP="00C2308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v1.1</w:t>
      </w: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| </w:t>
      </w: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Source:</w:t>
      </w: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</w:t>
      </w:r>
      <w:proofErr w:type="spellStart"/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BabyPips</w:t>
      </w:r>
      <w:proofErr w:type="spellEnd"/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Trending + Ranging Lessons, validated Stage 2</w:t>
      </w: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Application:</w:t>
      </w: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All instruments | </w:t>
      </w: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Default State: Ranging</w:t>
      </w: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(majority base rate — trend must be proven)</w:t>
      </w:r>
    </w:p>
    <w:p w14:paraId="6310C0C9" w14:textId="77777777" w:rsidR="00C2308C" w:rsidRPr="00C2308C" w:rsidRDefault="00D248D9" w:rsidP="00C2308C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66D974F7">
          <v:rect id="_x0000_i1025" style="width:0;height:0" o:hralign="center" o:hrstd="t" o:hr="t" fillcolor="#a0a0a0" stroked="f"/>
        </w:pict>
      </w:r>
    </w:p>
    <w:p w14:paraId="14C0D389" w14:textId="77777777" w:rsidR="00C2308C" w:rsidRPr="00C2308C" w:rsidRDefault="00C2308C" w:rsidP="00C2308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C2308C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Classification Rules</w:t>
      </w:r>
    </w:p>
    <w:p w14:paraId="447FF38E" w14:textId="77777777" w:rsidR="00C2308C" w:rsidRPr="00C2308C" w:rsidRDefault="00C2308C" w:rsidP="00C2308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Three tools applied as a </w:t>
      </w: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strict sequential hierarchy</w:t>
      </w: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— not alternatives. All layers must pass to confirm trend. Any layer failure → Ranging or Transitional.</w:t>
      </w:r>
    </w:p>
    <w:p w14:paraId="7BAF5EAE" w14:textId="77777777" w:rsidR="003D3CD4" w:rsidRDefault="00D248D9">
      <w:r>
        <w:t>Primary timeframe: H4 for all instruments. When using the Gauntlet v3.0 Pine Script, always apply the indicator</w:t>
      </w:r>
      <w:r>
        <w:t xml:space="preserve"> to an H4 chart.</w:t>
      </w:r>
    </w:p>
    <w:p w14:paraId="11D04016" w14:textId="77777777" w:rsidR="00C2308C" w:rsidRPr="00C2308C" w:rsidRDefault="00C2308C" w:rsidP="00C2308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C2308C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Tool 1: ADX(14) — Strength Gate</w:t>
      </w:r>
    </w:p>
    <w:p w14:paraId="7D373DAB" w14:textId="77777777" w:rsidR="00C2308C" w:rsidRPr="00C2308C" w:rsidRDefault="00C2308C" w:rsidP="00C2308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Inter" w:eastAsia="Times New Roman" w:hAnsi="Inter" w:cs="Times New Roman"/>
          <w:i/>
          <w:iCs/>
          <w:color w:val="F4F0EB"/>
          <w:sz w:val="21"/>
          <w:szCs w:val="21"/>
          <w:bdr w:val="single" w:sz="2" w:space="0" w:color="E5E7EB" w:frame="1"/>
          <w:lang w:eastAsia="en-KE"/>
        </w:rPr>
        <w:t>Setup: 14-period ADX. See Trend Strength Protocol for calculation.</w:t>
      </w:r>
    </w:p>
    <w:p w14:paraId="4B45B35E" w14:textId="77777777" w:rsidR="00C2308C" w:rsidRPr="00C2308C" w:rsidRDefault="00C2308C" w:rsidP="00C2308C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ADX ≤ 20</w:t>
      </w: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→ </w:t>
      </w: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Ranging.</w:t>
      </w: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Stop here.</w:t>
      </w:r>
    </w:p>
    <w:p w14:paraId="4BFF0CDE" w14:textId="77777777" w:rsidR="00C2308C" w:rsidRPr="00C2308C" w:rsidRDefault="00C2308C" w:rsidP="00C2308C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20 &lt; ADX &lt; 25</w:t>
      </w: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→ </w:t>
      </w: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Transitional.</w:t>
      </w: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Stop here.</w:t>
      </w:r>
    </w:p>
    <w:p w14:paraId="129D73D2" w14:textId="77777777" w:rsidR="00C2308C" w:rsidRPr="00C2308C" w:rsidRDefault="00C2308C" w:rsidP="00C2308C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ADX ≥ 25, rising</w:t>
      </w: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(current bar &gt; previous bar) → Trending candidate. Proceed to Tool 2.</w:t>
      </w:r>
    </w:p>
    <w:p w14:paraId="3D710A98" w14:textId="77777777" w:rsidR="00C2308C" w:rsidRPr="00C2308C" w:rsidRDefault="00C2308C" w:rsidP="00C2308C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ADX ≥ 25, falling</w:t>
      </w: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→ </w:t>
      </w: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Transitional</w:t>
      </w: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(trend decay). Stop here.</w:t>
      </w:r>
    </w:p>
    <w:p w14:paraId="34B031C0" w14:textId="77777777" w:rsidR="00C2308C" w:rsidRPr="00C2308C" w:rsidRDefault="00C2308C" w:rsidP="00C2308C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ADX &gt; 50</w:t>
      </w: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→ Trend-Extreme flag (see below).</w:t>
      </w:r>
    </w:p>
    <w:p w14:paraId="667165FE" w14:textId="77777777" w:rsidR="00C2308C" w:rsidRPr="00C2308C" w:rsidRDefault="00C2308C" w:rsidP="00C2308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Persistence:</w:t>
      </w: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ADX must hold in zone for </w:t>
      </w: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2 consecutive closes</w:t>
      </w: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to confirm state change. Oil: 3–4 bars on H4/Daily (see Instruments).</w:t>
      </w:r>
    </w:p>
    <w:p w14:paraId="2762B9E9" w14:textId="77777777" w:rsidR="00C2308C" w:rsidRPr="00C2308C" w:rsidRDefault="00C2308C" w:rsidP="00C2308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C2308C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Tool 2: 7/20/65 SMA — Direction Gate</w:t>
      </w:r>
    </w:p>
    <w:p w14:paraId="1182E40F" w14:textId="77777777" w:rsidR="00C2308C" w:rsidRPr="00C2308C" w:rsidRDefault="00C2308C" w:rsidP="00C2308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Inter" w:eastAsia="Times New Roman" w:hAnsi="Inter" w:cs="Times New Roman"/>
          <w:i/>
          <w:iCs/>
          <w:color w:val="F4F0EB"/>
          <w:sz w:val="21"/>
          <w:szCs w:val="21"/>
          <w:bdr w:val="single" w:sz="2" w:space="0" w:color="E5E7EB" w:frame="1"/>
          <w:lang w:eastAsia="en-KE"/>
        </w:rPr>
        <w:t>Setup: see MA Protocol. 7, 20, 65 SMA on price chart.</w:t>
      </w:r>
    </w:p>
    <w:p w14:paraId="6573C0B4" w14:textId="77777777" w:rsidR="00C2308C" w:rsidRPr="00C2308C" w:rsidRDefault="00C2308C" w:rsidP="00C2308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Alignment order (binary):</w:t>
      </w:r>
    </w:p>
    <w:p w14:paraId="24B4AE81" w14:textId="77777777" w:rsidR="00C2308C" w:rsidRPr="00C2308C" w:rsidRDefault="00C2308C" w:rsidP="00C2308C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Uptrend:</w:t>
      </w: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Price &gt; 7 SMA &gt; 20 SMA &gt; 65 SMA</w:t>
      </w:r>
    </w:p>
    <w:p w14:paraId="42976108" w14:textId="77777777" w:rsidR="00C2308C" w:rsidRPr="00C2308C" w:rsidRDefault="00C2308C" w:rsidP="00C2308C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Downtrend:</w:t>
      </w: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Price &lt; 7 SMA &lt; 20 SMA &lt; 65 SMA</w:t>
      </w:r>
    </w:p>
    <w:p w14:paraId="44724566" w14:textId="77777777" w:rsidR="00C2308C" w:rsidRPr="00C2308C" w:rsidRDefault="00C2308C" w:rsidP="00C2308C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Any other order</w:t>
      </w: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→ alignment failure → </w:t>
      </w: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Transitional.</w:t>
      </w: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Stop here.</w:t>
      </w:r>
    </w:p>
    <w:p w14:paraId="6EDD3D8F" w14:textId="77777777" w:rsidR="00C2308C" w:rsidRPr="00C2308C" w:rsidRDefault="00C2308C" w:rsidP="00C2308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Fan-out (mechanical):</w:t>
      </w:r>
    </w:p>
    <w:p w14:paraId="388F792E" w14:textId="77777777" w:rsidR="00C2308C" w:rsidRPr="00C2308C" w:rsidRDefault="00C2308C" w:rsidP="00C2308C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Spread = |7 SMA − 65 SMA| / ATR(14)</w:t>
      </w:r>
    </w:p>
    <w:p w14:paraId="7328B8A4" w14:textId="77777777" w:rsidR="00C2308C" w:rsidRPr="00C2308C" w:rsidRDefault="00C2308C" w:rsidP="00C2308C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Compression:</w:t>
      </w: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spread ≤ 0.25 → Ranging / Transitional</w:t>
      </w:r>
    </w:p>
    <w:p w14:paraId="7C407119" w14:textId="77777777" w:rsidR="00C2308C" w:rsidRPr="00C2308C" w:rsidRDefault="00C2308C" w:rsidP="00C2308C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Fan-out confirmed:</w:t>
      </w: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spread ≥ 0.50 </w:t>
      </w: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AND</w:t>
      </w: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expanding (current &gt; previous bar)</w:t>
      </w:r>
    </w:p>
    <w:p w14:paraId="4F3FC04C" w14:textId="77777777" w:rsidR="00C2308C" w:rsidRPr="00C2308C" w:rsidRDefault="00C2308C" w:rsidP="00C2308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lastRenderedPageBreak/>
        <w:t>Both alignment </w:t>
      </w: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AND</w:t>
      </w: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fan-out required. Proceed to Tool 3.</w:t>
      </w:r>
    </w:p>
    <w:p w14:paraId="5BC0F2F5" w14:textId="77777777" w:rsidR="00C2308C" w:rsidRPr="00C2308C" w:rsidRDefault="00C2308C" w:rsidP="00C2308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Inter" w:eastAsia="Times New Roman" w:hAnsi="Inter" w:cs="Times New Roman"/>
          <w:i/>
          <w:iCs/>
          <w:color w:val="F4F0EB"/>
          <w:sz w:val="21"/>
          <w:szCs w:val="21"/>
          <w:bdr w:val="single" w:sz="2" w:space="0" w:color="E5E7EB" w:frame="1"/>
          <w:lang w:eastAsia="en-KE"/>
        </w:rPr>
        <w:t>Note: 9/21/50 EMA is a validated faster alternative — if adopted, increase persistence to 3 bars.</w:t>
      </w:r>
    </w:p>
    <w:p w14:paraId="1435888F" w14:textId="77777777" w:rsidR="00C2308C" w:rsidRPr="00C2308C" w:rsidRDefault="00C2308C" w:rsidP="00C2308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73" w:after="107" w:line="240" w:lineRule="auto"/>
        <w:outlineLvl w:val="2"/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</w:pPr>
      <w:r w:rsidRPr="00C2308C">
        <w:rPr>
          <w:rFonts w:ascii="system-ui" w:eastAsia="Times New Roman" w:hAnsi="system-ui" w:cs="Times New Roman"/>
          <w:b/>
          <w:bCs/>
          <w:color w:val="FFFFFF"/>
          <w:spacing w:val="-6"/>
          <w:sz w:val="31"/>
          <w:szCs w:val="31"/>
          <w:lang w:eastAsia="en-KE"/>
        </w:rPr>
        <w:t>Tool 3: BB Dual-SD Zones — Confirmation Gate</w:t>
      </w:r>
    </w:p>
    <w:p w14:paraId="64C48A79" w14:textId="77777777" w:rsidR="00C2308C" w:rsidRPr="00C2308C" w:rsidRDefault="00C2308C" w:rsidP="00C2308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Inter" w:eastAsia="Times New Roman" w:hAnsi="Inter" w:cs="Times New Roman"/>
          <w:i/>
          <w:iCs/>
          <w:color w:val="F4F0EB"/>
          <w:sz w:val="21"/>
          <w:szCs w:val="21"/>
          <w:bdr w:val="single" w:sz="2" w:space="0" w:color="E5E7EB" w:frame="1"/>
          <w:lang w:eastAsia="en-KE"/>
        </w:rPr>
        <w:t>This configuration is unique to this framework. Set up exactly as specified.</w:t>
      </w:r>
    </w:p>
    <w:p w14:paraId="63012A75" w14:textId="77777777" w:rsidR="00C2308C" w:rsidRPr="00C2308C" w:rsidRDefault="00C2308C" w:rsidP="00C2308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Setup:</w:t>
      </w: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Place </w:t>
      </w: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two</w:t>
      </w: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Bollinger Band sets on the same chart:</w:t>
      </w:r>
    </w:p>
    <w:p w14:paraId="3EC6B6ED" w14:textId="77777777" w:rsidR="00C2308C" w:rsidRPr="00C2308C" w:rsidRDefault="00C2308C" w:rsidP="00C2308C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Set 1:</w:t>
      </w: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20-period, </w:t>
      </w: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1 standard deviation</w:t>
      </w:r>
    </w:p>
    <w:p w14:paraId="68647591" w14:textId="77777777" w:rsidR="00C2308C" w:rsidRPr="00C2308C" w:rsidRDefault="00C2308C" w:rsidP="00C2308C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Set 2:</w:t>
      </w: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20-period, </w:t>
      </w: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2 standard deviations</w:t>
      </w:r>
    </w:p>
    <w:p w14:paraId="70FF22D9" w14:textId="77777777" w:rsidR="00C2308C" w:rsidRPr="00C2308C" w:rsidRDefault="00C2308C" w:rsidP="00C2308C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Both share the 20 SMA middle band</w:t>
      </w:r>
    </w:p>
    <w:p w14:paraId="06E8E39C" w14:textId="77777777" w:rsidR="00C2308C" w:rsidRPr="00C2308C" w:rsidRDefault="00C2308C" w:rsidP="00C2308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Five zones, defined by candle CLOSE only</w:t>
      </w: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(wicks do not count):</w:t>
      </w:r>
    </w:p>
    <w:tbl>
      <w:tblPr>
        <w:tblW w:w="7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3686"/>
        <w:gridCol w:w="2453"/>
      </w:tblGrid>
      <w:tr w:rsidR="00C2308C" w:rsidRPr="00C2308C" w14:paraId="4822558E" w14:textId="77777777" w:rsidTr="00C2308C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F70860E" w14:textId="77777777" w:rsidR="00C2308C" w:rsidRPr="00A13DFB" w:rsidRDefault="00C2308C" w:rsidP="00C2308C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A13DFB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Zone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AD38B46" w14:textId="77777777" w:rsidR="00C2308C" w:rsidRPr="00A13DFB" w:rsidRDefault="00C2308C" w:rsidP="00C2308C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A13DFB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Close Position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092BB24" w14:textId="77777777" w:rsidR="00C2308C" w:rsidRPr="00A13DFB" w:rsidRDefault="00C2308C" w:rsidP="00C2308C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A13DFB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Signal</w:t>
            </w:r>
          </w:p>
        </w:tc>
      </w:tr>
      <w:tr w:rsidR="00C2308C" w:rsidRPr="00C2308C" w14:paraId="31F262D4" w14:textId="77777777" w:rsidTr="00C2308C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838FDA1" w14:textId="77777777" w:rsidR="00C2308C" w:rsidRPr="00C2308C" w:rsidRDefault="00C2308C" w:rsidP="00C2308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2308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Extreme Bull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66E98B" w14:textId="77777777" w:rsidR="00C2308C" w:rsidRPr="00C2308C" w:rsidRDefault="00C2308C" w:rsidP="00C2308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2308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Above Upper 2SD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1A7475" w14:textId="77777777" w:rsidR="00C2308C" w:rsidRPr="00C2308C" w:rsidRDefault="00C2308C" w:rsidP="00C2308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2308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Trend-Extreme</w:t>
            </w:r>
          </w:p>
        </w:tc>
      </w:tr>
      <w:tr w:rsidR="00C2308C" w:rsidRPr="00C2308C" w14:paraId="6C929FA3" w14:textId="77777777" w:rsidTr="00C2308C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AC62CF1" w14:textId="77777777" w:rsidR="00C2308C" w:rsidRPr="00A13DFB" w:rsidRDefault="00C2308C" w:rsidP="00C2308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color w:val="0070C0"/>
                <w:sz w:val="21"/>
                <w:szCs w:val="21"/>
                <w:lang w:eastAsia="en-KE"/>
              </w:rPr>
            </w:pPr>
            <w:r w:rsidRPr="00A13DFB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>Buy Zone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B6EFCB" w14:textId="77777777" w:rsidR="00C2308C" w:rsidRPr="00C2308C" w:rsidRDefault="00C2308C" w:rsidP="00C2308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2308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Between Upper 1SD and Upper 2SD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81A1B36" w14:textId="77777777" w:rsidR="00C2308C" w:rsidRPr="00C2308C" w:rsidRDefault="00C2308C" w:rsidP="00C2308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2308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Uptrend confirmation</w:t>
            </w:r>
          </w:p>
        </w:tc>
      </w:tr>
      <w:tr w:rsidR="00C2308C" w:rsidRPr="00C2308C" w14:paraId="39820599" w14:textId="77777777" w:rsidTr="00C2308C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00312D2" w14:textId="77777777" w:rsidR="00C2308C" w:rsidRPr="00A13DFB" w:rsidRDefault="00C2308C" w:rsidP="00C2308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color w:val="0070C0"/>
                <w:sz w:val="21"/>
                <w:szCs w:val="21"/>
                <w:lang w:eastAsia="en-KE"/>
              </w:rPr>
            </w:pPr>
            <w:r w:rsidRPr="00A13DFB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>Neutral Zone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F5DDA1" w14:textId="77777777" w:rsidR="00C2308C" w:rsidRPr="00C2308C" w:rsidRDefault="00C2308C" w:rsidP="00C2308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2308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Between Upper 1SD and Lower 1SD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442D14" w14:textId="77777777" w:rsidR="00C2308C" w:rsidRPr="00C2308C" w:rsidRDefault="00C2308C" w:rsidP="00C2308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2308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No directional bias</w:t>
            </w:r>
          </w:p>
        </w:tc>
      </w:tr>
      <w:tr w:rsidR="00C2308C" w:rsidRPr="00C2308C" w14:paraId="6D745A8E" w14:textId="77777777" w:rsidTr="00C2308C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C1D944D" w14:textId="77777777" w:rsidR="00C2308C" w:rsidRPr="00A13DFB" w:rsidRDefault="00C2308C" w:rsidP="00C2308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color w:val="0070C0"/>
                <w:sz w:val="21"/>
                <w:szCs w:val="21"/>
                <w:lang w:eastAsia="en-KE"/>
              </w:rPr>
            </w:pPr>
            <w:r w:rsidRPr="00A13DFB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>Sell Zone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CF2005" w14:textId="77777777" w:rsidR="00C2308C" w:rsidRPr="00C2308C" w:rsidRDefault="00C2308C" w:rsidP="00C2308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2308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Between Lower 1SD and Lower 2SD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60C35B0" w14:textId="77777777" w:rsidR="00C2308C" w:rsidRPr="00C2308C" w:rsidRDefault="00C2308C" w:rsidP="00C2308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2308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Downtrend confirmation</w:t>
            </w:r>
          </w:p>
        </w:tc>
      </w:tr>
      <w:tr w:rsidR="00C2308C" w:rsidRPr="00C2308C" w14:paraId="1C08DB7F" w14:textId="77777777" w:rsidTr="00C2308C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3C2ED94" w14:textId="77777777" w:rsidR="00C2308C" w:rsidRPr="00C2308C" w:rsidRDefault="00C2308C" w:rsidP="00C2308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2308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Extreme Bear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8210123" w14:textId="77777777" w:rsidR="00C2308C" w:rsidRPr="00C2308C" w:rsidRDefault="00C2308C" w:rsidP="00C2308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2308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Below Lower 2SD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35624B" w14:textId="77777777" w:rsidR="00C2308C" w:rsidRPr="00C2308C" w:rsidRDefault="00C2308C" w:rsidP="00C2308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2308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Trend-Extreme</w:t>
            </w:r>
          </w:p>
        </w:tc>
      </w:tr>
    </w:tbl>
    <w:p w14:paraId="1AD9618B" w14:textId="77777777" w:rsidR="00C2308C" w:rsidRPr="00C2308C" w:rsidRDefault="00C2308C" w:rsidP="00C2308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Zone persistence:</w:t>
      </w: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2 of last 3 bars must close in the same directional zone.</w:t>
      </w:r>
    </w:p>
    <w:p w14:paraId="207FD323" w14:textId="77777777" w:rsidR="00C2308C" w:rsidRPr="00C2308C" w:rsidRDefault="00C2308C" w:rsidP="00C2308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BBW expansion gate (mandatory for trend confirmation):</w:t>
      </w:r>
    </w:p>
    <w:p w14:paraId="62D39DAF" w14:textId="77777777" w:rsidR="00C2308C" w:rsidRPr="00C2308C" w:rsidRDefault="00C2308C" w:rsidP="00C2308C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BBW = (Upper 2SD − Lower 2SD) / Middle Band</w:t>
      </w:r>
    </w:p>
    <w:p w14:paraId="6B5536B6" w14:textId="77777777" w:rsidR="00C2308C" w:rsidRPr="00C2308C" w:rsidRDefault="00C2308C" w:rsidP="00C2308C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>
        <w:lastRenderedPageBreak/>
        <w:t>Trend authorized only if BBW &gt; SMA(BBW, 200) — a 200-bar (≈33 trading days) moving average of BandWidth, computed on H4. The 200-bar lookback is calibrated to FX volatility half-life dynamics (HAR model monthly component = 132 H4 bars; N=200 provides the recommended 1.5× buffer). This value will be validated against the grid {125, 200, 300} during backtest phase (Phase 6.4). Do not substitute N=50 — it is too short to represent a stable volatility mean on H4.</w:t>
      </w:r>
    </w:p>
    <w:p w14:paraId="3F20D2C9" w14:textId="77777777" w:rsidR="00C2308C" w:rsidRPr="00C2308C" w:rsidRDefault="00C2308C" w:rsidP="00C2308C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BBW below that threshold → supports Ranging classification</w:t>
      </w:r>
    </w:p>
    <w:p w14:paraId="69434DCC" w14:textId="77777777" w:rsidR="00C2308C" w:rsidRPr="00C2308C" w:rsidRDefault="00C2308C" w:rsidP="00C2308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Tool 3 outputs:</w:t>
      </w:r>
    </w:p>
    <w:p w14:paraId="560C70B6" w14:textId="77777777" w:rsidR="00C2308C" w:rsidRPr="00C2308C" w:rsidRDefault="00C2308C" w:rsidP="00C2308C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Buy Zone (2/3 bars) + BBW expanding + MAs say UP → </w:t>
      </w:r>
      <w:r w:rsidRPr="00C2308C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C2308C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 </w:t>
      </w: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UPTREND</w:t>
      </w:r>
    </w:p>
    <w:p w14:paraId="364CDBA5" w14:textId="77777777" w:rsidR="00C2308C" w:rsidRPr="00C2308C" w:rsidRDefault="00C2308C" w:rsidP="00C2308C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Sell Zone (2/3 bars) + BBW expanding + MAs say DOWN → </w:t>
      </w:r>
      <w:r w:rsidRPr="00C2308C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C2308C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 </w:t>
      </w: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DOWNTREND</w:t>
      </w:r>
    </w:p>
    <w:p w14:paraId="3D932780" w14:textId="77777777" w:rsidR="00C2308C" w:rsidRPr="00C2308C" w:rsidRDefault="00C2308C" w:rsidP="00C2308C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Neutral Zone → </w:t>
      </w: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Transitional</w:t>
      </w:r>
    </w:p>
    <w:p w14:paraId="515F3C2E" w14:textId="77777777" w:rsidR="00C2308C" w:rsidRPr="00C2308C" w:rsidRDefault="00C2308C" w:rsidP="00C2308C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Zone contradicts MA direction → </w:t>
      </w: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Conflict → Stand aside</w:t>
      </w:r>
    </w:p>
    <w:p w14:paraId="4D949304" w14:textId="77777777" w:rsidR="00C2308C" w:rsidRPr="00C2308C" w:rsidRDefault="00D248D9" w:rsidP="00C2308C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3F6921F0">
          <v:rect id="_x0000_i1026" style="width:0;height:0" o:hralign="center" o:hrstd="t" o:hr="t" fillcolor="#a0a0a0" stroked="f"/>
        </w:pict>
      </w:r>
    </w:p>
    <w:p w14:paraId="57D8E648" w14:textId="77777777" w:rsidR="00C2308C" w:rsidRPr="00C2308C" w:rsidRDefault="00C2308C" w:rsidP="00C2308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C2308C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State Definitions</w:t>
      </w:r>
    </w:p>
    <w:tbl>
      <w:tblPr>
        <w:tblW w:w="7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1327"/>
        <w:gridCol w:w="1595"/>
        <w:gridCol w:w="1960"/>
        <w:gridCol w:w="1467"/>
      </w:tblGrid>
      <w:tr w:rsidR="00C2308C" w:rsidRPr="00C2308C" w14:paraId="0B4F4228" w14:textId="77777777" w:rsidTr="00C2308C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7072C3A" w14:textId="77777777" w:rsidR="00C2308C" w:rsidRPr="00A13DFB" w:rsidRDefault="00C2308C" w:rsidP="00C2308C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A13DFB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State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9387F45" w14:textId="77777777" w:rsidR="00C2308C" w:rsidRPr="00A13DFB" w:rsidRDefault="00C2308C" w:rsidP="00C2308C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A13DFB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ADX(14)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7773781" w14:textId="77777777" w:rsidR="00C2308C" w:rsidRPr="00A13DFB" w:rsidRDefault="00C2308C" w:rsidP="00C2308C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A13DFB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MA Alignment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3994DF8" w14:textId="77777777" w:rsidR="00C2308C" w:rsidRPr="00A13DFB" w:rsidRDefault="00C2308C" w:rsidP="00C2308C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A13DFB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BB Zone + BBW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B50F18C" w14:textId="77777777" w:rsidR="00C2308C" w:rsidRPr="00A13DFB" w:rsidRDefault="00C2308C" w:rsidP="00C2308C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A13DFB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Route</w:t>
            </w:r>
          </w:p>
        </w:tc>
      </w:tr>
      <w:tr w:rsidR="00C2308C" w:rsidRPr="00C2308C" w14:paraId="42D401B3" w14:textId="77777777" w:rsidTr="00C2308C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A9B824" w14:textId="77777777" w:rsidR="00C2308C" w:rsidRPr="00A13DFB" w:rsidRDefault="00C2308C" w:rsidP="00C2308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color w:val="0070C0"/>
                <w:sz w:val="21"/>
                <w:szCs w:val="21"/>
                <w:lang w:eastAsia="en-KE"/>
              </w:rPr>
            </w:pPr>
            <w:r w:rsidRPr="00A13DFB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>Trending Up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0A4572" w14:textId="77777777" w:rsidR="00C2308C" w:rsidRPr="00C2308C" w:rsidRDefault="00C2308C" w:rsidP="00C2308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2308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≥25, rising, 2 bars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11716BC" w14:textId="77777777" w:rsidR="00C2308C" w:rsidRPr="00C2308C" w:rsidRDefault="00C2308C" w:rsidP="00C2308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2308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P&gt;7&gt;20&gt;65, spread ≥0.50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CFE87D" w14:textId="77777777" w:rsidR="00C2308C" w:rsidRPr="00C2308C" w:rsidRDefault="00C2308C" w:rsidP="00C2308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2308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Buy Zone 2/3 bars, BBW expanding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C16D41B" w14:textId="77777777" w:rsidR="00C2308C" w:rsidRPr="00C2308C" w:rsidRDefault="00C2308C" w:rsidP="00C2308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2308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→ Trend protocols (long only)</w:t>
            </w:r>
          </w:p>
        </w:tc>
      </w:tr>
      <w:tr w:rsidR="00C2308C" w:rsidRPr="00C2308C" w14:paraId="609EAB09" w14:textId="77777777" w:rsidTr="00C2308C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A520D76" w14:textId="77777777" w:rsidR="00C2308C" w:rsidRPr="00A13DFB" w:rsidRDefault="00C2308C" w:rsidP="00C2308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color w:val="0070C0"/>
                <w:sz w:val="21"/>
                <w:szCs w:val="21"/>
                <w:lang w:eastAsia="en-KE"/>
              </w:rPr>
            </w:pPr>
            <w:r w:rsidRPr="00A13DFB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>Trending Down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8DB551E" w14:textId="77777777" w:rsidR="00C2308C" w:rsidRPr="00C2308C" w:rsidRDefault="00C2308C" w:rsidP="00C2308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2308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≥25, rising, 2 bars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15D0CEE" w14:textId="77777777" w:rsidR="00C2308C" w:rsidRPr="00C2308C" w:rsidRDefault="00C2308C" w:rsidP="00C2308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2308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P&lt;7&lt;20&lt;65, spread ≥0.50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9C5E6AB" w14:textId="77777777" w:rsidR="00C2308C" w:rsidRPr="00C2308C" w:rsidRDefault="00C2308C" w:rsidP="00C2308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2308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Sell Zone 2/3 bars, BBW expanding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82F10A8" w14:textId="77777777" w:rsidR="00C2308C" w:rsidRPr="00C2308C" w:rsidRDefault="00C2308C" w:rsidP="00C2308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2308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→ Trend protocols (short only)</w:t>
            </w:r>
          </w:p>
        </w:tc>
      </w:tr>
      <w:tr w:rsidR="00C2308C" w:rsidRPr="00C2308C" w14:paraId="3D5B19BE" w14:textId="77777777" w:rsidTr="00C2308C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146657" w14:textId="77777777" w:rsidR="00C2308C" w:rsidRPr="00A13DFB" w:rsidRDefault="00C2308C" w:rsidP="00C2308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color w:val="0070C0"/>
                <w:sz w:val="21"/>
                <w:szCs w:val="21"/>
                <w:lang w:eastAsia="en-KE"/>
              </w:rPr>
            </w:pPr>
            <w:r w:rsidRPr="00A13DFB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>Ranging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3A6EAEE" w14:textId="77777777" w:rsidR="00C2308C" w:rsidRPr="00C2308C" w:rsidRDefault="00C2308C" w:rsidP="00C2308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2308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≤20, 2 bars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58F5F56" w14:textId="77777777" w:rsidR="00C2308C" w:rsidRPr="00C2308C" w:rsidRDefault="00C2308C" w:rsidP="00C2308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2308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Compressed, spread ≤0.25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494CE4" w14:textId="77777777" w:rsidR="00C2308C" w:rsidRPr="00C2308C" w:rsidRDefault="00C2308C" w:rsidP="00C2308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2308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Neutral Zone, BBW contracting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17C130" w14:textId="77777777" w:rsidR="00C2308C" w:rsidRPr="00C2308C" w:rsidRDefault="00C2308C" w:rsidP="00C2308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2308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→ Range protocols (both directions)</w:t>
            </w:r>
          </w:p>
        </w:tc>
      </w:tr>
      <w:tr w:rsidR="00C2308C" w:rsidRPr="00C2308C" w14:paraId="78E9596A" w14:textId="77777777" w:rsidTr="00C2308C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F7568D" w14:textId="77777777" w:rsidR="00C2308C" w:rsidRPr="00A13DFB" w:rsidRDefault="00C2308C" w:rsidP="00C2308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color w:val="0070C0"/>
                <w:sz w:val="21"/>
                <w:szCs w:val="21"/>
                <w:lang w:eastAsia="en-KE"/>
              </w:rPr>
            </w:pPr>
            <w:r w:rsidRPr="00A13DFB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lastRenderedPageBreak/>
              <w:t>Transitional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C058D5" w14:textId="77777777" w:rsidR="00C2308C" w:rsidRPr="00C2308C" w:rsidRDefault="00C2308C" w:rsidP="00C2308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2308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20–25 / ≥25 falling / tool conflict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71CB5BA" w14:textId="77777777" w:rsidR="00C2308C" w:rsidRPr="00C2308C" w:rsidRDefault="00C2308C" w:rsidP="00C2308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2308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Mixed order or partial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3746BF3" w14:textId="77777777" w:rsidR="00C2308C" w:rsidRPr="00C2308C" w:rsidRDefault="00C2308C" w:rsidP="00C2308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2308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Neutral + BBW rising, or zone ≠ MAs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45E18C7" w14:textId="77777777" w:rsidR="00C2308C" w:rsidRPr="00C2308C" w:rsidRDefault="00C2308C" w:rsidP="00C2308C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C2308C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→ Stand aside or size ×0.50</w:t>
            </w:r>
          </w:p>
        </w:tc>
      </w:tr>
    </w:tbl>
    <w:p w14:paraId="2B183085" w14:textId="77777777" w:rsidR="003D3CD4" w:rsidRDefault="00D248D9">
      <w:r>
        <w:t>Note: All "Stand aside" instructions throughout this document are equivalent to Transitional for routing purposes: no new entries, manage existing positions only, re-classify on each candle close.</w:t>
      </w:r>
    </w:p>
    <w:p w14:paraId="5A0A1F47" w14:textId="77777777" w:rsidR="00C2308C" w:rsidRPr="00C2308C" w:rsidRDefault="00C2308C" w:rsidP="00C2308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Trend-Extreme modifier:</w:t>
      </w: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ADX &gt; 50 OR close beyond 2SD during confirmed trend → no new entries, tighten stops aggressively. Trend classification holds but action rules change.</w:t>
      </w:r>
    </w:p>
    <w:p w14:paraId="515ED323" w14:textId="77777777" w:rsidR="00C2308C" w:rsidRPr="00C2308C" w:rsidRDefault="00C2308C" w:rsidP="00C2308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>
        <w:t>If a Tool-output combination produces no explicit classification, default to Transitional (no new entries, manage existing only). Trend must be proven — ambiguity defaults to the conservative state.</w:t>
      </w:r>
    </w:p>
    <w:p w14:paraId="3DD6D895" w14:textId="77777777" w:rsidR="00C2308C" w:rsidRPr="00C2308C" w:rsidRDefault="00D248D9" w:rsidP="00C2308C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3F47D7D8">
          <v:rect id="_x0000_i1027" style="width:0;height:0" o:hralign="center" o:hrstd="t" o:hr="t" fillcolor="#a0a0a0" stroked="f"/>
        </w:pict>
      </w:r>
    </w:p>
    <w:p w14:paraId="763F910F" w14:textId="77777777" w:rsidR="003D3CD4" w:rsidRDefault="00D248D9">
      <w:r>
        <w:t>Calibration Note</w:t>
      </w:r>
    </w:p>
    <w:p w14:paraId="7FACF0D8" w14:textId="77777777" w:rsidR="003D3CD4" w:rsidRDefault="00D248D9">
      <w:r>
        <w:t>Calibration Note: Confirmed trending states (Trending Up or Trending Down) will occur less frequently than ADX-only trend definitions suggest. The commonly cited "~30% of the time markets trend" figure applies to ADX alone. With 3-layer confirmation, expec</w:t>
      </w:r>
      <w:r>
        <w:t>t a confirmed trend on approximately 15–20% of bars. This is by design — requiring all three layers to agree substantially reduces false trend signals that generate losing entries in P1–P15 technical protocols. Higher selectivity produces lower frequency a</w:t>
      </w:r>
      <w:r>
        <w:t>nd higher per-signal quality. Do not attempt to relax any layer to increase trade frequency.</w:t>
      </w:r>
    </w:p>
    <w:p w14:paraId="28A08D2D" w14:textId="77777777" w:rsidR="00C2308C" w:rsidRPr="00C2308C" w:rsidRDefault="00C2308C" w:rsidP="00C2308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C2308C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Strategy Routing</w:t>
      </w:r>
    </w:p>
    <w:p w14:paraId="3254B0D2" w14:textId="77777777" w:rsidR="00C2308C" w:rsidRPr="00C2308C" w:rsidRDefault="00C2308C" w:rsidP="00C2308C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IF Trending →</w:t>
      </w: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Trend-following protocols: momentum entries, breakout continuations, pullback entries in trend direction only.</w:t>
      </w:r>
    </w:p>
    <w:p w14:paraId="761027FA" w14:textId="77777777" w:rsidR="00C2308C" w:rsidRPr="00C2308C" w:rsidRDefault="00C2308C" w:rsidP="00C2308C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IF Ranging →</w:t>
      </w: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Range / mean-reversion protocols: S/R bounce, oscillator reversals (RSI/Stochastic at OB/OS), channel and BB bounce strategies. Both directions.</w:t>
      </w:r>
    </w:p>
    <w:p w14:paraId="64DA8ACB" w14:textId="77777777" w:rsidR="00C2308C" w:rsidRPr="00C2308C" w:rsidRDefault="00C2308C" w:rsidP="00C2308C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IF Transitional →</w:t>
      </w: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No new entries (preferred) or size ×0.50 max. Re-classify every candle close. Do not apply trend or range protocols.</w:t>
      </w:r>
    </w:p>
    <w:p w14:paraId="2F0B7A05" w14:textId="77777777" w:rsidR="00C2308C" w:rsidRPr="00C2308C" w:rsidRDefault="00C2308C" w:rsidP="00C2308C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IF Trend-Extreme →</w:t>
      </w: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Existing positions only. Tighten trailing stops. Prepare for potential mean-reversion setup.</w:t>
      </w:r>
    </w:p>
    <w:p w14:paraId="6654D759" w14:textId="77777777" w:rsidR="00C2308C" w:rsidRPr="00C2308C" w:rsidRDefault="00C2308C" w:rsidP="00C2308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Size per Risk Management Framework.</w:t>
      </w:r>
    </w:p>
    <w:p w14:paraId="5FD660C0" w14:textId="77777777" w:rsidR="00C2308C" w:rsidRPr="00C2308C" w:rsidRDefault="00D248D9" w:rsidP="00C2308C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lastRenderedPageBreak/>
        <w:pict w14:anchorId="42304346">
          <v:rect id="_x0000_i1028" style="width:0;height:0" o:hralign="center" o:hrstd="t" o:hr="t" fillcolor="#a0a0a0" stroked="f"/>
        </w:pict>
      </w:r>
    </w:p>
    <w:p w14:paraId="3E4A8369" w14:textId="77777777" w:rsidR="00C2308C" w:rsidRPr="00C2308C" w:rsidRDefault="00C2308C" w:rsidP="00C2308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C2308C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Instrument Tendencies</w:t>
      </w:r>
    </w:p>
    <w:p w14:paraId="4BA02EEE" w14:textId="77777777" w:rsidR="00C2308C" w:rsidRPr="00C2308C" w:rsidRDefault="00C2308C" w:rsidP="00C2308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Inter" w:eastAsia="Times New Roman" w:hAnsi="Inter" w:cs="Times New Roman"/>
          <w:i/>
          <w:iCs/>
          <w:color w:val="F4F0EB"/>
          <w:sz w:val="21"/>
          <w:szCs w:val="21"/>
          <w:bdr w:val="single" w:sz="2" w:space="0" w:color="E5E7EB" w:frame="1"/>
          <w:lang w:eastAsia="en-KE"/>
        </w:rPr>
        <w:t>Informational priors — always subordinate to real-time classifier output above.</w:t>
      </w:r>
    </w:p>
    <w:p w14:paraId="5B354DDB" w14:textId="77777777" w:rsidR="003D3CD4" w:rsidRPr="00D248D9" w:rsidRDefault="00D248D9">
      <w:pPr>
        <w:rPr>
          <w:color w:val="0070C0"/>
        </w:rPr>
      </w:pPr>
      <w:r w:rsidRPr="00D248D9">
        <w:rPr>
          <w:rFonts w:ascii="Inter" w:eastAsia="Times New Roman" w:hAnsi="Inter" w:cs="Times New Roman"/>
          <w:i/>
          <w:iCs/>
          <w:color w:val="0070C0"/>
          <w:sz w:val="21"/>
          <w:szCs w:val="21"/>
          <w:bdr w:val="single" w:sz="2" w:space="0" w:color="E5E7EB" w:frame="1"/>
          <w:lang w:eastAsia="en-KE"/>
        </w:rPr>
        <w:t>Instrument-specific ADX thresholds are defined in each protocol's Instrument section. The canonical overrides for this system are: Gold ≥ 24 | Silver ≥ 26 | Oil ≥ 30 (all sourced from P1). When using the Gauntlet v3.0 Pine Script, ensure the instrument mod</w:t>
      </w:r>
      <w:r w:rsidRPr="00D248D9">
        <w:rPr>
          <w:rFonts w:ascii="Inter" w:eastAsia="Times New Roman" w:hAnsi="Inter" w:cs="Times New Roman"/>
          <w:i/>
          <w:iCs/>
          <w:color w:val="0070C0"/>
          <w:sz w:val="21"/>
          <w:szCs w:val="21"/>
          <w:bdr w:val="single" w:sz="2" w:space="0" w:color="E5E7EB" w:frame="1"/>
          <w:lang w:eastAsia="en-KE"/>
        </w:rPr>
        <w:t>e matches the pair being analyzed.</w:t>
      </w:r>
    </w:p>
    <w:p w14:paraId="26F8ABE4" w14:textId="77777777" w:rsidR="00C2308C" w:rsidRPr="00C2308C" w:rsidRDefault="00C2308C" w:rsidP="00C2308C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Forex Majors</w:t>
      </w: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(EUR/USD, GBP/USD, USD/JPY, USD/CHF): Macro-driven trends, deepest liquidity. Prioritize for trend protocols.</w:t>
      </w:r>
    </w:p>
    <w:p w14:paraId="2CE721CC" w14:textId="77777777" w:rsidR="00C2308C" w:rsidRPr="00C2308C" w:rsidRDefault="00C2308C" w:rsidP="00C2308C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Forex Crosses</w:t>
      </w: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 (EUR/CHF, AUD/NZD, EUR/GBP): Mean-reversion bias, correlated economies. Prioritize for range protocols. </w:t>
      </w:r>
      <w:r w:rsidRPr="00C2308C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⚠</w:t>
      </w: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Monitor for structural breaks (EUR/CHF 2015).</w:t>
      </w:r>
    </w:p>
    <w:p w14:paraId="3A084C07" w14:textId="77777777" w:rsidR="00C2308C" w:rsidRPr="00C2308C" w:rsidRDefault="00C2308C" w:rsidP="00C2308C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Gold (XAUUSD):</w:t>
      </w: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Extended consolidation → explosive transitions. Increase persistence to 3 bars for all tools; raise fan-out threshold to 0.75 (ATR-normalized spread) to filter false trend signals from aggressive wicks.</w:t>
      </w:r>
    </w:p>
    <w:p w14:paraId="6B5975DE" w14:textId="77777777" w:rsidR="00C2308C" w:rsidRPr="00C2308C" w:rsidRDefault="00C2308C" w:rsidP="00C2308C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>
        <w:t>Silver (XAGUSD): Higher volatility than Gold, speculative squeezes. Apply Gold modifications. Increase persistence to 4 bars for ALL tools during Transitional states (ADX zone confirmation and BB zone persistence both use the 4-bar rule). Gold's 3-bar persistence applies to Trending states.</w:t>
      </w:r>
    </w:p>
    <w:p w14:paraId="620BB0DE" w14:textId="77777777" w:rsidR="00C2308C" w:rsidRPr="00C2308C" w:rsidRDefault="00C2308C" w:rsidP="00C2308C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>
        <w:t>Oil (USOIL/WTI): High baseline volatility creates noise-driven false trends. ADX trending threshold ≥ 30 (sourced from P1 Support &amp; Resistance Instrument section). Key instrument overrides across the system: Gold ≥ 24 | Silver ≥ 26 | Oil ≥ 30. Increase persistence to 3–4 bars on H4/Daily, 5–6 bars on H1 and below. Ranging phases are noisy — sharp intraday spikes from inventory releases and headlines that do not break the larger range. Suspend classification during event blackout windows (see Breakdowns). Structural break risk is higher than forex (~20–30% annual probability of significant shock from OPEC decisions, geopolitical supply disruptions, or storage constraints).</w:t>
      </w:r>
    </w:p>
    <w:p w14:paraId="758D3226" w14:textId="77777777" w:rsidR="00C2308C" w:rsidRPr="00C2308C" w:rsidRDefault="00C2308C" w:rsidP="00C2308C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Indices</w:t>
      </w: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(NAS100, SPX500, US30): Structural long bias; bear phases faster and more volatile. Stronger trends during NY/London; more ranging during Asian session.</w:t>
      </w:r>
    </w:p>
    <w:p w14:paraId="44C9E586" w14:textId="77777777" w:rsidR="00C2308C" w:rsidRPr="00C2308C" w:rsidRDefault="00D248D9" w:rsidP="00C2308C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5091AB0C">
          <v:rect id="_x0000_i1029" style="width:0;height:0" o:hralign="center" o:hrstd="t" o:hr="t" fillcolor="#a0a0a0" stroked="f"/>
        </w:pict>
      </w:r>
    </w:p>
    <w:p w14:paraId="10771A21" w14:textId="77777777" w:rsidR="00C2308C" w:rsidRPr="00C2308C" w:rsidRDefault="00C2308C" w:rsidP="00C2308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C2308C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Breakdowns</w:t>
      </w:r>
    </w:p>
    <w:p w14:paraId="44320C4D" w14:textId="77777777" w:rsidR="00C2308C" w:rsidRPr="00C2308C" w:rsidRDefault="00C2308C" w:rsidP="00C2308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Classification unreliable when:</w:t>
      </w:r>
    </w:p>
    <w:p w14:paraId="4F0EB52C" w14:textId="77777777" w:rsidR="00C2308C" w:rsidRPr="00C2308C" w:rsidRDefault="00C2308C" w:rsidP="00C2308C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C2308C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 </w:t>
      </w: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Major news imminent</w:t>
      </w: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(NFP, FOMC, CPI within 30 min) — regime can flip instantly</w:t>
      </w:r>
    </w:p>
    <w:p w14:paraId="0249329A" w14:textId="77777777" w:rsidR="00C2308C" w:rsidRPr="00C2308C" w:rsidRDefault="00C2308C" w:rsidP="00C2308C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C2308C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 </w:t>
      </w: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Oil event blackouts:</w:t>
      </w: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EIA release Wed 10:20–10:45 AM ET | API release Tue 4:15–4:45 PM ET | OPEC announcements 2–4 hours post-release. Suspend all Oil classification during these windows</w:t>
      </w:r>
    </w:p>
    <w:p w14:paraId="4D26FAB6" w14:textId="77777777" w:rsidR="00C2308C" w:rsidRPr="00C2308C" w:rsidRDefault="00C2308C" w:rsidP="00C2308C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>
        <w:t>❌ ADX oscillating around threshold (25 for forex/metals/indices, 30 for Oil — see P1 for instrument overrides) for 5+ bars with no slope commitment — noise zone</w:t>
      </w:r>
    </w:p>
    <w:p w14:paraId="6B6CFDDF" w14:textId="77777777" w:rsidR="00C2308C" w:rsidRPr="00C2308C" w:rsidRDefault="00C2308C" w:rsidP="00C2308C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lastRenderedPageBreak/>
        <w:t>❌</w:t>
      </w:r>
      <w:r w:rsidRPr="00C2308C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 </w:t>
      </w: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All three tools disagree</w:t>
      </w: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— no consensus possible; stand aside entirely</w:t>
      </w:r>
    </w:p>
    <w:p w14:paraId="4F54381E" w14:textId="77777777" w:rsidR="00C2308C" w:rsidRPr="00C2308C" w:rsidRDefault="00C2308C" w:rsidP="00C2308C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C2308C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 </w:t>
      </w: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Structural break</w:t>
      </w: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on any instrument (peg removal, OPEC regime shift, geopolitical supply shock) — classifier cannot detect instantaneous fundamental repricing</w:t>
      </w:r>
    </w:p>
    <w:p w14:paraId="6CF9A426" w14:textId="77777777" w:rsidR="00C2308C" w:rsidRPr="00C2308C" w:rsidRDefault="00C2308C" w:rsidP="00C2308C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C2308C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 </w:t>
      </w: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Illiquid session</w:t>
      </w: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on session-sensitive instruments (indices and Oil during Asian hours)</w:t>
      </w:r>
    </w:p>
    <w:p w14:paraId="401B2A0F" w14:textId="77777777" w:rsidR="00C2308C" w:rsidRPr="00C2308C" w:rsidRDefault="00C2308C" w:rsidP="00C2308C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C2308C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C2308C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 </w:t>
      </w:r>
      <w:r w:rsidRPr="00C2308C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BBW at multi-month extremes</w:t>
      </w:r>
      <w:r w:rsidRPr="00C2308C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— classifier degrades at distribution tails in either direction</w:t>
      </w:r>
    </w:p>
    <w:p w14:paraId="6D295CC9" w14:textId="77777777" w:rsidR="00326269" w:rsidRPr="00030070" w:rsidRDefault="00326269" w:rsidP="00030070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sectPr w:rsidR="00326269" w:rsidRPr="00030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Inter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22D24"/>
    <w:multiLevelType w:val="multilevel"/>
    <w:tmpl w:val="E5D0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215A57"/>
    <w:multiLevelType w:val="multilevel"/>
    <w:tmpl w:val="09EE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555AFF"/>
    <w:multiLevelType w:val="multilevel"/>
    <w:tmpl w:val="498E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CE3918"/>
    <w:multiLevelType w:val="multilevel"/>
    <w:tmpl w:val="197E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006047"/>
    <w:multiLevelType w:val="multilevel"/>
    <w:tmpl w:val="7F62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6C2E46"/>
    <w:multiLevelType w:val="multilevel"/>
    <w:tmpl w:val="D096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2A448B"/>
    <w:multiLevelType w:val="multilevel"/>
    <w:tmpl w:val="A276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2D7DC3"/>
    <w:multiLevelType w:val="multilevel"/>
    <w:tmpl w:val="F594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9F9398B"/>
    <w:multiLevelType w:val="multilevel"/>
    <w:tmpl w:val="96DA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E32F44"/>
    <w:multiLevelType w:val="multilevel"/>
    <w:tmpl w:val="1424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6C21664"/>
    <w:multiLevelType w:val="multilevel"/>
    <w:tmpl w:val="8352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A59440B"/>
    <w:multiLevelType w:val="multilevel"/>
    <w:tmpl w:val="19F8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AF9501B"/>
    <w:multiLevelType w:val="multilevel"/>
    <w:tmpl w:val="E09E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1E0A4A"/>
    <w:multiLevelType w:val="multilevel"/>
    <w:tmpl w:val="F4DA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0212652"/>
    <w:multiLevelType w:val="multilevel"/>
    <w:tmpl w:val="9964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6B458FF"/>
    <w:multiLevelType w:val="multilevel"/>
    <w:tmpl w:val="0348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4E95FAB"/>
    <w:multiLevelType w:val="multilevel"/>
    <w:tmpl w:val="CC86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5EC4050"/>
    <w:multiLevelType w:val="multilevel"/>
    <w:tmpl w:val="1EA2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8300FF9"/>
    <w:multiLevelType w:val="multilevel"/>
    <w:tmpl w:val="EC66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7"/>
  </w:num>
  <w:num w:numId="2">
    <w:abstractNumId w:val="15"/>
  </w:num>
  <w:num w:numId="3">
    <w:abstractNumId w:val="12"/>
  </w:num>
  <w:num w:numId="4">
    <w:abstractNumId w:val="10"/>
  </w:num>
  <w:num w:numId="5">
    <w:abstractNumId w:val="2"/>
  </w:num>
  <w:num w:numId="6">
    <w:abstractNumId w:val="13"/>
  </w:num>
  <w:num w:numId="7">
    <w:abstractNumId w:val="8"/>
  </w:num>
  <w:num w:numId="8">
    <w:abstractNumId w:val="1"/>
  </w:num>
  <w:num w:numId="9">
    <w:abstractNumId w:val="18"/>
  </w:num>
  <w:num w:numId="10">
    <w:abstractNumId w:val="14"/>
  </w:num>
  <w:num w:numId="11">
    <w:abstractNumId w:val="0"/>
  </w:num>
  <w:num w:numId="12">
    <w:abstractNumId w:val="11"/>
  </w:num>
  <w:num w:numId="13">
    <w:abstractNumId w:val="5"/>
  </w:num>
  <w:num w:numId="14">
    <w:abstractNumId w:val="7"/>
  </w:num>
  <w:num w:numId="15">
    <w:abstractNumId w:val="16"/>
  </w:num>
  <w:num w:numId="16">
    <w:abstractNumId w:val="6"/>
  </w:num>
  <w:num w:numId="17">
    <w:abstractNumId w:val="3"/>
  </w:num>
  <w:num w:numId="18">
    <w:abstractNumId w:val="4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517"/>
    <w:rsid w:val="00030070"/>
    <w:rsid w:val="001C0517"/>
    <w:rsid w:val="00326269"/>
    <w:rsid w:val="003D3CD4"/>
    <w:rsid w:val="00A13DFB"/>
    <w:rsid w:val="00C2308C"/>
    <w:rsid w:val="00C37D82"/>
    <w:rsid w:val="00CB3F82"/>
    <w:rsid w:val="00D248D9"/>
    <w:rsid w:val="00D8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688BF"/>
  <w15:chartTrackingRefBased/>
  <w15:docId w15:val="{CCAC7EC3-DD38-4624-9AF8-98AD08BB8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37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386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820420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035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693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834268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95168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1262</Words>
  <Characters>7198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Chege</dc:creator>
  <cp:keywords/>
  <dc:description/>
  <cp:lastModifiedBy>Edwin Chege</cp:lastModifiedBy>
  <cp:revision>5</cp:revision>
  <dcterms:created xsi:type="dcterms:W3CDTF">2026-02-27T16:27:00Z</dcterms:created>
  <dcterms:modified xsi:type="dcterms:W3CDTF">2026-04-16T02:56:00Z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cc69ddcc-00b1-4952-a40f-d0866e335649</vt:lpwstr>
  </property>
</Properties>
</file>