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41B4A"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192" w:line="360" w:lineRule="auto"/>
        <w:outlineLvl w:val="0"/>
        <w:rPr>
          <w:rFonts w:ascii="Verdana" w:eastAsia="Times New Roman" w:hAnsi="Verdana" w:cs="Times New Roman"/>
          <w:b/>
          <w:bCs/>
          <w:color w:val="833C0B" w:themeColor="accent2" w:themeShade="80"/>
          <w:spacing w:val="-6"/>
          <w:kern w:val="36"/>
          <w:sz w:val="51"/>
          <w:szCs w:val="51"/>
          <w:lang w:eastAsia="en-KE"/>
        </w:rPr>
      </w:pPr>
      <w:r>
        <w:rPr>
          <w:rFonts w:ascii="Verdana" w:eastAsia="Times New Roman" w:hAnsi="Verdana" w:cs="Times New Roman"/>
          <w:b/>
          <w:bCs/>
          <w:color w:val="833C0B" w:themeColor="accent2" w:themeShade="80"/>
          <w:spacing w:val="-6"/>
          <w:kern w:val="36"/>
          <w:sz w:val="51"/>
          <w:szCs w:val="51"/>
          <w:lang w:eastAsia="en-KE"/>
        </w:rPr>
        <w:t>INTEREST RATE &amp; CARRY TRADE BIAS MODEL</w:t>
      </w:r>
    </w:p>
    <w:p w14:paraId="25B7905E"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v2.0 | Source: Lessons 2, 3, 5, 10 (rate differentials); </w:t>
      </w:r>
      <w:r>
        <w:rPr>
          <w:rFonts w:ascii="Verdana" w:eastAsia="Times New Roman" w:hAnsi="Verdana" w:cs="Times New Roman"/>
          <w:i/>
          <w:iCs/>
          <w:color w:val="833C0B" w:themeColor="accent2" w:themeShade="80"/>
          <w:sz w:val="21"/>
          <w:szCs w:val="21"/>
          <w:bdr w:val="single" w:sz="2" w:space="0" w:color="E5E7EB" w:frame="1"/>
          <w:lang w:eastAsia="en-KE"/>
        </w:rPr>
        <w:t>Know When Carry Trades Work and When They Don't</w:t>
      </w:r>
      <w:r>
        <w:rPr>
          <w:rFonts w:ascii="Verdana" w:eastAsia="Times New Roman" w:hAnsi="Verdana" w:cs="Times New Roman"/>
          <w:color w:val="833C0B" w:themeColor="accent2" w:themeShade="80"/>
          <w:sz w:val="21"/>
          <w:szCs w:val="21"/>
          <w:lang w:eastAsia="en-KE"/>
        </w:rPr>
        <w:t> (carry-sentiment regime)</w:t>
      </w:r>
    </w:p>
    <w:p w14:paraId="0E2A3F9E"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Instruments:</w:t>
      </w:r>
      <w:r>
        <w:rPr>
          <w:rFonts w:ascii="Verdana" w:eastAsia="Times New Roman" w:hAnsi="Verdana" w:cs="Times New Roman"/>
          <w:color w:val="833C0B" w:themeColor="accent2" w:themeShade="80"/>
          <w:sz w:val="21"/>
          <w:szCs w:val="21"/>
          <w:lang w:eastAsia="en-KE"/>
        </w:rPr>
        <w:t> All forex pairs (primary) | AUD/JPY, NZD/JPY, G10 &amp; EM carry pairs (carry-specific) | XAUUSD, XAGUSD, USOIL, NAS100, SPX500, US30 (secondary)</w:t>
      </w:r>
    </w:p>
    <w:p w14:paraId="05D73F3C"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Update Frequency:</w:t>
      </w:r>
      <w:r>
        <w:rPr>
          <w:rFonts w:ascii="Verdana" w:eastAsia="Times New Roman" w:hAnsi="Verdana" w:cs="Times New Roman"/>
          <w:color w:val="833C0B" w:themeColor="accent2" w:themeShade="80"/>
          <w:sz w:val="21"/>
          <w:szCs w:val="21"/>
          <w:lang w:eastAsia="en-KE"/>
        </w:rPr>
        <w:t> Daily (sentiment metrics). Weekly (2Y yield spreads, technical gate). Monthly (fundamental gate). Reassess after each CB meeting, after Tier 1 data releases (CPI, NFP, GDP). Reassess immediately when VIX crosses 25.</w:t>
      </w:r>
    </w:p>
    <w:p w14:paraId="2DA18211" w14:textId="77777777" w:rsidR="0090012E" w:rsidRPr="00B84C9A" w:rsidRDefault="005E6478" w:rsidP="00B84C9A">
      <w:pPr>
        <w:spacing w:before="686" w:after="686" w:line="360" w:lineRule="auto"/>
        <w:rPr>
          <w:rFonts w:ascii="Verdana" w:eastAsia="Times New Roman" w:hAnsi="Verdana" w:cs="Times New Roman"/>
          <w:color w:val="833C0B" w:themeColor="accent2" w:themeShade="80"/>
          <w:sz w:val="24"/>
          <w:szCs w:val="24"/>
          <w:lang w:eastAsia="en-KE"/>
        </w:rPr>
      </w:pPr>
      <w:r>
        <w:rPr>
          <w:rFonts w:ascii="Verdana" w:eastAsia="Times New Roman" w:hAnsi="Verdana" w:cs="Times New Roman"/>
          <w:color w:val="833C0B" w:themeColor="accent2" w:themeShade="80"/>
          <w:sz w:val="24"/>
          <w:szCs w:val="24"/>
          <w:lang w:eastAsia="en-KE"/>
        </w:rPr>
        <w:pict w14:anchorId="46D8E595">
          <v:rect id="_x0000_i1025" style="width:0;height:0" o:hralign="center" o:hrstd="t" o:hr="t" fillcolor="#a0a0a0" stroked="f"/>
        </w:pict>
      </w:r>
    </w:p>
    <w:p w14:paraId="28079288"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192" w:line="360" w:lineRule="auto"/>
        <w:outlineLvl w:val="1"/>
        <w:rPr>
          <w:rFonts w:ascii="Verdana" w:eastAsia="Times New Roman" w:hAnsi="Verdana" w:cs="Times New Roman"/>
          <w:b/>
          <w:bCs/>
          <w:color w:val="833C0B" w:themeColor="accent2" w:themeShade="80"/>
          <w:spacing w:val="-6"/>
          <w:sz w:val="34"/>
          <w:szCs w:val="34"/>
          <w:lang w:eastAsia="en-KE"/>
        </w:rPr>
      </w:pPr>
      <w:r>
        <w:rPr>
          <w:rFonts w:ascii="Verdana" w:eastAsia="Times New Roman" w:hAnsi="Verdana" w:cs="Times New Roman"/>
          <w:b/>
          <w:bCs/>
          <w:color w:val="833C0B" w:themeColor="accent2" w:themeShade="80"/>
          <w:spacing w:val="-6"/>
          <w:sz w:val="34"/>
          <w:szCs w:val="34"/>
          <w:lang w:eastAsia="en-KE"/>
        </w:rPr>
        <w:t>The Relationship</w:t>
      </w:r>
    </w:p>
    <w:p w14:paraId="458D2267"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The rate differential — tracked via 2Y sovereign yield spreads — is the primary directional force in forex because capital flows toward higher-yielding currencies. Risk sentiment is the master switch for carry trade viability: the differential creates the opportunity; the risk regime determines whether harvesting it is profitable or lethal. Part 1 (rate differential bias) filters direction for all forex trades. Part 2 (carry viability) is an additional gate that activates only when holding positions specifically for carry income. Hybrid mandate: Directional bias (Part 1) relies strictly on spread SHIFT (momentum/change). Carry trade viability (Part 2) relies strictly on ABSOLUTE spread level (yield advantage).</w:t>
      </w:r>
    </w:p>
    <w:p w14:paraId="526DAFB2" w14:textId="77777777" w:rsidR="0090012E" w:rsidRPr="00B84C9A" w:rsidRDefault="005E6478" w:rsidP="00B84C9A">
      <w:pPr>
        <w:spacing w:before="686" w:after="686" w:line="360" w:lineRule="auto"/>
        <w:rPr>
          <w:rFonts w:ascii="Verdana" w:eastAsia="Times New Roman" w:hAnsi="Verdana" w:cs="Times New Roman"/>
          <w:color w:val="833C0B" w:themeColor="accent2" w:themeShade="80"/>
          <w:sz w:val="24"/>
          <w:szCs w:val="24"/>
          <w:lang w:eastAsia="en-KE"/>
        </w:rPr>
      </w:pPr>
      <w:r>
        <w:rPr>
          <w:rFonts w:ascii="Verdana" w:eastAsia="Times New Roman" w:hAnsi="Verdana" w:cs="Times New Roman"/>
          <w:color w:val="833C0B" w:themeColor="accent2" w:themeShade="80"/>
          <w:sz w:val="24"/>
          <w:szCs w:val="24"/>
          <w:lang w:eastAsia="en-KE"/>
        </w:rPr>
        <w:pict w14:anchorId="09EC6531">
          <v:rect id="_x0000_i1026" style="width:0;height:0" o:hralign="center" o:hrstd="t" o:hr="t" fillcolor="#a0a0a0" stroked="f"/>
        </w:pict>
      </w:r>
    </w:p>
    <w:p w14:paraId="54FA172E"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192" w:line="360" w:lineRule="auto"/>
        <w:outlineLvl w:val="1"/>
        <w:rPr>
          <w:rFonts w:ascii="Verdana" w:eastAsia="Times New Roman" w:hAnsi="Verdana" w:cs="Times New Roman"/>
          <w:b/>
          <w:bCs/>
          <w:color w:val="833C0B" w:themeColor="accent2" w:themeShade="80"/>
          <w:spacing w:val="-6"/>
          <w:sz w:val="34"/>
          <w:szCs w:val="34"/>
          <w:lang w:eastAsia="en-KE"/>
        </w:rPr>
      </w:pPr>
      <w:r>
        <w:rPr>
          <w:rFonts w:ascii="Verdana" w:eastAsia="Times New Roman" w:hAnsi="Verdana" w:cs="Times New Roman"/>
          <w:b/>
          <w:bCs/>
          <w:color w:val="833C0B" w:themeColor="accent2" w:themeShade="80"/>
          <w:spacing w:val="-6"/>
          <w:sz w:val="34"/>
          <w:szCs w:val="34"/>
          <w:lang w:eastAsia="en-KE"/>
        </w:rPr>
        <w:t>Part 1: Rate Differential Rules</w:t>
      </w:r>
    </w:p>
    <w:p w14:paraId="19581F8C"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i/>
          <w:iCs/>
          <w:color w:val="833C0B" w:themeColor="accent2" w:themeShade="80"/>
          <w:sz w:val="21"/>
          <w:szCs w:val="21"/>
          <w:bdr w:val="single" w:sz="2" w:space="0" w:color="E5E7EB" w:frame="1"/>
          <w:lang w:eastAsia="en-KE"/>
        </w:rPr>
        <w:lastRenderedPageBreak/>
        <w:t>Applies to ALL forex trading. Use 2Y sovereign yield spread as primary input — not CB target rates. Ordered by signal strength.</w:t>
      </w:r>
    </w:p>
    <w:p w14:paraId="64BEFD8C" w14:textId="77777777" w:rsidR="0090012E" w:rsidRPr="00B84C9A" w:rsidRDefault="0090012E" w:rsidP="00B84C9A">
      <w:pPr>
        <w:numPr>
          <w:ilvl w:val="0"/>
          <w:numId w:val="2"/>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both CBs moving in opposite directions (one hiking, one cutting) </w:t>
      </w:r>
      <w:r>
        <w:rPr>
          <w:rFonts w:ascii="Arial" w:eastAsia="Times New Roman" w:hAnsi="Arial" w:cs="Arial"/>
          <w:color w:val="833C0B" w:themeColor="accent2" w:themeShade="80"/>
          <w:sz w:val="21"/>
          <w:szCs w:val="21"/>
          <w:lang w:eastAsia="en-KE"/>
        </w:rPr>
        <w:t>→</w:t>
      </w:r>
      <w:r>
        <w:rPr>
          <w:rFonts w:ascii="Verdana" w:eastAsia="Times New Roman" w:hAnsi="Verdana" w:cs="Verdan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STRONG</w:t>
      </w:r>
      <w:r>
        <w:rPr>
          <w:rFonts w:ascii="Verdana" w:eastAsia="Times New Roman" w:hAnsi="Verdana" w:cs="Times New Roman"/>
          <w:color w:val="833C0B" w:themeColor="accent2" w:themeShade="80"/>
          <w:sz w:val="21"/>
          <w:szCs w:val="21"/>
          <w:lang w:eastAsia="en-KE"/>
        </w:rPr>
        <w:t> bias: long the hiking currency, short the cutting currency. Highest-conviction signal. Expect large trending moves.</w:t>
      </w:r>
    </w:p>
    <w:p w14:paraId="0E11CCD6" w14:textId="77777777" w:rsidR="0090012E" w:rsidRPr="00B84C9A" w:rsidRDefault="0090012E" w:rsidP="00B84C9A">
      <w:pPr>
        <w:numPr>
          <w:ilvl w:val="0"/>
          <w:numId w:val="2"/>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2Y yield spread widening ≥50bp </w:t>
      </w:r>
      <w:r>
        <w:rPr>
          <w:rFonts w:ascii="Arial" w:eastAsia="Times New Roman" w:hAnsi="Arial" w:cs="Arial"/>
          <w:color w:val="833C0B" w:themeColor="accent2" w:themeShade="80"/>
          <w:sz w:val="21"/>
          <w:szCs w:val="21"/>
          <w:lang w:eastAsia="en-KE"/>
        </w:rPr>
        <w:t>→</w:t>
      </w:r>
      <w:r>
        <w:rPr>
          <w:rFonts w:ascii="Verdana" w:eastAsia="Times New Roman" w:hAnsi="Verdana" w:cs="Verdan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STRONG</w:t>
      </w:r>
      <w:r>
        <w:rPr>
          <w:rFonts w:ascii="Verdana" w:eastAsia="Times New Roman" w:hAnsi="Verdana" w:cs="Times New Roman"/>
          <w:color w:val="833C0B" w:themeColor="accent2" w:themeShade="80"/>
          <w:sz w:val="21"/>
          <w:szCs w:val="21"/>
          <w:lang w:eastAsia="en-KE"/>
        </w:rPr>
        <w:t> bias: long the higher-yielding currency.</w:t>
      </w:r>
    </w:p>
    <w:p w14:paraId="5BEBF393" w14:textId="77777777" w:rsidR="0090012E" w:rsidRPr="00B84C9A" w:rsidRDefault="0090012E" w:rsidP="00B84C9A">
      <w:pPr>
        <w:numPr>
          <w:ilvl w:val="0"/>
          <w:numId w:val="2"/>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2Y yield spread narrowing ≥50bp </w:t>
      </w:r>
      <w:r>
        <w:rPr>
          <w:rFonts w:ascii="Arial" w:eastAsia="Times New Roman" w:hAnsi="Arial" w:cs="Arial"/>
          <w:color w:val="833C0B" w:themeColor="accent2" w:themeShade="80"/>
          <w:sz w:val="21"/>
          <w:szCs w:val="21"/>
          <w:lang w:eastAsia="en-KE"/>
        </w:rPr>
        <w:t>→</w:t>
      </w:r>
      <w:r>
        <w:rPr>
          <w:rFonts w:ascii="Verdana" w:eastAsia="Times New Roman" w:hAnsi="Verdana" w:cs="Verdan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STRONG</w:t>
      </w:r>
      <w:r>
        <w:rPr>
          <w:rFonts w:ascii="Verdana" w:eastAsia="Times New Roman" w:hAnsi="Verdana" w:cs="Times New Roman"/>
          <w:color w:val="833C0B" w:themeColor="accent2" w:themeShade="80"/>
          <w:sz w:val="21"/>
          <w:szCs w:val="21"/>
          <w:lang w:eastAsia="en-KE"/>
        </w:rPr>
        <w:t> bias: long the lower-yielding currency (it's gaining).</w:t>
      </w:r>
    </w:p>
    <w:p w14:paraId="05EC3356" w14:textId="77777777" w:rsidR="0090012E" w:rsidRPr="00B84C9A" w:rsidRDefault="0090012E" w:rsidP="00B84C9A">
      <w:pPr>
        <w:numPr>
          <w:ilvl w:val="0"/>
          <w:numId w:val="2"/>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2Y yield spread shifting 25–50bp (widening or narrowing) </w:t>
      </w:r>
      <w:r>
        <w:rPr>
          <w:rFonts w:ascii="Arial" w:eastAsia="Times New Roman" w:hAnsi="Arial" w:cs="Arial"/>
          <w:color w:val="833C0B" w:themeColor="accent2" w:themeShade="80"/>
          <w:sz w:val="21"/>
          <w:szCs w:val="21"/>
          <w:lang w:eastAsia="en-KE"/>
        </w:rPr>
        <w:t>→</w:t>
      </w:r>
      <w:r>
        <w:rPr>
          <w:rFonts w:ascii="Verdana" w:eastAsia="Times New Roman" w:hAnsi="Verdana" w:cs="Verdan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MODERATE</w:t>
      </w:r>
      <w:r>
        <w:rPr>
          <w:rFonts w:ascii="Verdana" w:eastAsia="Times New Roman" w:hAnsi="Verdana" w:cs="Times New Roman"/>
          <w:color w:val="833C0B" w:themeColor="accent2" w:themeShade="80"/>
          <w:sz w:val="21"/>
          <w:szCs w:val="21"/>
          <w:lang w:eastAsia="en-KE"/>
        </w:rPr>
        <w:t> bias in the same directional logic. Reduce size.</w:t>
      </w:r>
    </w:p>
    <w:p w14:paraId="517A110E" w14:textId="21FA1862" w:rsidR="0090012E" w:rsidRPr="00B84C9A" w:rsidRDefault="0090012E" w:rsidP="00B84C9A">
      <w:pPr>
        <w:numPr>
          <w:ilvl w:val="0"/>
          <w:numId w:val="2"/>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IF rate expectations shift (OIS repricing</w:t>
      </w:r>
      <w:r>
        <w:rPr>
          <w:rFonts w:ascii="Verdana" w:eastAsia="Times New Roman" w:hAnsi="Verdana" w:cs="Times New Roman"/>
          <w:color w:val="833C0B" w:themeColor="accent2" w:themeShade="80"/>
          <w:sz w:val="21"/>
          <w:szCs w:val="21"/>
          <w:lang w:val="en-US" w:eastAsia="en-KE"/>
        </w:rPr>
        <w:t>[</w:t>
      </w:r>
      <w:r>
        <w:rPr>
          <w:b/>
          <w:bCs/>
          <w:color w:val="833C0B" w:themeColor="accent2" w:themeShade="80"/>
        </w:rPr>
        <w:t>The Indicator:</w:t>
      </w:r>
      <w:r>
        <w:rPr>
          <w:color w:val="833C0B" w:themeColor="accent2" w:themeShade="80"/>
        </w:rPr>
        <w:t xml:space="preserve"> Watch tools like the </w:t>
      </w:r>
      <w:r>
        <w:rPr>
          <w:b/>
          <w:bCs/>
          <w:color w:val="833C0B" w:themeColor="accent2" w:themeShade="80"/>
        </w:rPr>
        <w:t>CME FedWatch</w:t>
      </w:r>
      <w:r>
        <w:rPr>
          <w:color w:val="833C0B" w:themeColor="accent2" w:themeShade="80"/>
        </w:rPr>
        <w:t xml:space="preserve"> or </w:t>
      </w:r>
      <w:r>
        <w:rPr>
          <w:b/>
          <w:bCs/>
          <w:color w:val="833C0B" w:themeColor="accent2" w:themeShade="80"/>
        </w:rPr>
        <w:t>ASX RBA Tracker</w:t>
      </w:r>
      <w:r>
        <w:rPr>
          <w:color w:val="833C0B" w:themeColor="accent2" w:themeShade="80"/>
        </w:rPr>
        <w:t>.</w:t>
      </w:r>
      <w:r>
        <w:rPr>
          <w:color w:val="833C0B" w:themeColor="accent2" w:themeShade="80"/>
          <w:lang w:val="en-US"/>
        </w:rPr>
        <w:t>]</w:t>
      </w:r>
      <w:r>
        <w:rPr>
          <w:rFonts w:ascii="Verdana" w:eastAsia="Times New Roman" w:hAnsi="Verdana" w:cs="Times New Roman"/>
          <w:color w:val="833C0B" w:themeColor="accent2" w:themeShade="80"/>
          <w:sz w:val="21"/>
          <w:szCs w:val="21"/>
          <w:lang w:eastAsia="en-KE"/>
        </w:rPr>
        <w:t xml:space="preserve">, dot plot revision, CB tone change) before any actual rate move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Bias follows the new expected path immediately. Do not wait for the decision. When rate expectations shift (this rule), they supersede the existing CB-direction signal (Rule 1). Latest forward-looking information is always operative.</w:t>
      </w:r>
    </w:p>
    <w:p w14:paraId="52ED235F" w14:textId="7A2E037E" w:rsidR="0090012E" w:rsidRPr="00B84C9A" w:rsidRDefault="0090012E" w:rsidP="00B84C9A">
      <w:pPr>
        <w:numPr>
          <w:ilvl w:val="0"/>
          <w:numId w:val="2"/>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real rate differential disagrees with nominal (high inflation erodes one side's yield)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Trust the real rate differential. Real rate = nominal </w:t>
      </w:r>
      <w:r>
        <w:rPr>
          <w:rFonts w:ascii="Verdana" w:eastAsia="Times New Roman" w:hAnsi="Verdana" w:cs="Verdana"/>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expected inflation. Use </w:t>
      </w:r>
      <w:r>
        <w:rPr>
          <w:rFonts w:ascii="Verdana" w:eastAsia="Times New Roman" w:hAnsi="Verdana" w:cs="Times New Roman"/>
          <w:color w:val="833C0B" w:themeColor="accent2" w:themeShade="80"/>
          <w:sz w:val="21"/>
          <w:szCs w:val="21"/>
          <w:highlight w:val="green"/>
          <w:lang w:eastAsia="en-KE"/>
        </w:rPr>
        <w:t>TIPS breakevens</w:t>
      </w:r>
      <w:r>
        <w:rPr>
          <w:rFonts w:ascii="Verdana" w:eastAsia="Times New Roman" w:hAnsi="Verdana" w:cs="Times New Roman"/>
          <w:color w:val="833C0B" w:themeColor="accent2" w:themeShade="80"/>
          <w:sz w:val="21"/>
          <w:szCs w:val="21"/>
          <w:lang w:eastAsia="en-KE"/>
        </w:rPr>
        <w:t xml:space="preserve"> for USD; core CPI for others.</w:t>
      </w:r>
    </w:p>
    <w:p w14:paraId="6E72D2D1" w14:textId="77777777" w:rsidR="0090012E" w:rsidRPr="00B84C9A" w:rsidRDefault="0090012E" w:rsidP="00B84C9A">
      <w:pPr>
        <w:numPr>
          <w:ilvl w:val="0"/>
          <w:numId w:val="2"/>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yields rising from fiscal risk premium (bond selloff from deficit fears, not CB tightening)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Do NOT treat as currency-bullish. Fiscal-driven yield spikes are currency-negative.</w:t>
      </w:r>
    </w:p>
    <w:p w14:paraId="460E9DED" w14:textId="77777777" w:rsidR="0090012E" w:rsidRPr="00B84C9A" w:rsidRDefault="0090012E" w:rsidP="00B84C9A">
      <w:pPr>
        <w:numPr>
          <w:ilvl w:val="0"/>
          <w:numId w:val="2"/>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yield spread change &lt;25bp and both CBs moving same direction at similar pace </w:t>
      </w:r>
      <w:r>
        <w:rPr>
          <w:rFonts w:ascii="Arial" w:eastAsia="Times New Roman" w:hAnsi="Arial" w:cs="Arial"/>
          <w:color w:val="833C0B" w:themeColor="accent2" w:themeShade="80"/>
          <w:sz w:val="21"/>
          <w:szCs w:val="21"/>
          <w:lang w:eastAsia="en-KE"/>
        </w:rPr>
        <w:t>→</w:t>
      </w:r>
      <w:r>
        <w:rPr>
          <w:rFonts w:ascii="Verdana" w:eastAsia="Times New Roman" w:hAnsi="Verdana" w:cs="Verdan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NEUTRAL</w:t>
      </w:r>
      <w:r>
        <w:rPr>
          <w:rFonts w:ascii="Verdana" w:eastAsia="Times New Roman" w:hAnsi="Verdana" w:cs="Times New Roman"/>
          <w:color w:val="833C0B" w:themeColor="accent2" w:themeShade="80"/>
          <w:sz w:val="21"/>
          <w:szCs w:val="21"/>
          <w:lang w:eastAsia="en-KE"/>
        </w:rPr>
        <w:t>. No directional permission from this model.</w:t>
      </w:r>
    </w:p>
    <w:p w14:paraId="39CD6CA2"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373" w:after="107" w:line="360" w:lineRule="auto"/>
        <w:outlineLvl w:val="2"/>
        <w:rPr>
          <w:rFonts w:ascii="Verdana" w:eastAsia="Times New Roman" w:hAnsi="Verdana" w:cs="Times New Roman"/>
          <w:b/>
          <w:bCs/>
          <w:color w:val="833C0B" w:themeColor="accent2" w:themeShade="80"/>
          <w:spacing w:val="-6"/>
          <w:sz w:val="31"/>
          <w:szCs w:val="31"/>
          <w:lang w:eastAsia="en-KE"/>
        </w:rPr>
      </w:pPr>
      <w:r>
        <w:rPr>
          <w:rFonts w:ascii="Verdana" w:eastAsia="Times New Roman" w:hAnsi="Verdana" w:cs="Times New Roman"/>
          <w:b/>
          <w:bCs/>
          <w:color w:val="833C0B" w:themeColor="accent2" w:themeShade="80"/>
          <w:spacing w:val="-6"/>
          <w:sz w:val="31"/>
          <w:szCs w:val="31"/>
          <w:lang w:eastAsia="en-KE"/>
        </w:rPr>
        <w:t>Signal Strength</w:t>
      </w:r>
    </w:p>
    <w:p w14:paraId="18CD4D09" w14:textId="77777777" w:rsidR="0090012E" w:rsidRPr="00B84C9A" w:rsidRDefault="0090012E" w:rsidP="00B84C9A">
      <w:pPr>
        <w:numPr>
          <w:ilvl w:val="0"/>
          <w:numId w:val="3"/>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Maximum</w:t>
      </w:r>
      <w:r>
        <w:rPr>
          <w:rFonts w:ascii="Verdana" w:eastAsia="Times New Roman" w:hAnsi="Verdana" w:cs="Times New Roman"/>
          <w:color w:val="833C0B" w:themeColor="accent2" w:themeShade="80"/>
          <w:sz w:val="21"/>
          <w:szCs w:val="21"/>
          <w:lang w:eastAsia="en-KE"/>
        </w:rPr>
        <w:t> — Opposite-direction policy + aligned CB tone + VIX &lt; 20</w:t>
      </w:r>
    </w:p>
    <w:p w14:paraId="1710FF01" w14:textId="77777777" w:rsidR="0090012E" w:rsidRPr="00B84C9A" w:rsidRDefault="0090012E" w:rsidP="00B84C9A">
      <w:pPr>
        <w:numPr>
          <w:ilvl w:val="0"/>
          <w:numId w:val="3"/>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Strong</w:t>
      </w:r>
      <w:r>
        <w:rPr>
          <w:rFonts w:ascii="Verdana" w:eastAsia="Times New Roman" w:hAnsi="Verdana" w:cs="Times New Roman"/>
          <w:color w:val="833C0B" w:themeColor="accent2" w:themeShade="80"/>
          <w:sz w:val="21"/>
          <w:szCs w:val="21"/>
          <w:lang w:eastAsia="en-KE"/>
        </w:rPr>
        <w:t> — Differential shift ≥50bp + aligned tone</w:t>
      </w:r>
    </w:p>
    <w:p w14:paraId="02138DB4" w14:textId="77777777" w:rsidR="0090012E" w:rsidRPr="00B84C9A" w:rsidRDefault="0090012E" w:rsidP="00B84C9A">
      <w:pPr>
        <w:numPr>
          <w:ilvl w:val="0"/>
          <w:numId w:val="3"/>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Moderate</w:t>
      </w:r>
      <w:r>
        <w:rPr>
          <w:rFonts w:ascii="Verdana" w:eastAsia="Times New Roman" w:hAnsi="Verdana" w:cs="Times New Roman"/>
          <w:color w:val="833C0B" w:themeColor="accent2" w:themeShade="80"/>
          <w:sz w:val="21"/>
          <w:szCs w:val="21"/>
          <w:lang w:eastAsia="en-KE"/>
        </w:rPr>
        <w:t> — Differential shift 25–50bp, or mixed CB tone</w:t>
      </w:r>
    </w:p>
    <w:p w14:paraId="432FD8AE" w14:textId="77777777" w:rsidR="0090012E" w:rsidRPr="00B84C9A" w:rsidRDefault="0090012E" w:rsidP="00B84C9A">
      <w:pPr>
        <w:numPr>
          <w:ilvl w:val="0"/>
          <w:numId w:val="3"/>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Low</w:t>
      </w:r>
      <w:r>
        <w:rPr>
          <w:rFonts w:ascii="Verdana" w:eastAsia="Times New Roman" w:hAnsi="Verdana" w:cs="Times New Roman"/>
          <w:color w:val="833C0B" w:themeColor="accent2" w:themeShade="80"/>
          <w:sz w:val="21"/>
          <w:szCs w:val="21"/>
          <w:lang w:eastAsia="en-KE"/>
        </w:rPr>
        <w:t> — Stable differential, synchronized policy, or data-dependent uncertainty</w:t>
      </w:r>
    </w:p>
    <w:p w14:paraId="1D985E16" w14:textId="77777777" w:rsidR="0090012E" w:rsidRPr="00B84C9A" w:rsidRDefault="0090012E" w:rsidP="00B84C9A">
      <w:pPr>
        <w:numPr>
          <w:ilvl w:val="0"/>
          <w:numId w:val="3"/>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Suspended</w:t>
      </w:r>
      <w:r>
        <w:rPr>
          <w:rFonts w:ascii="Verdana" w:eastAsia="Times New Roman" w:hAnsi="Verdana" w:cs="Times New Roman"/>
          <w:color w:val="833C0B" w:themeColor="accent2" w:themeShade="80"/>
          <w:sz w:val="21"/>
          <w:szCs w:val="21"/>
          <w:lang w:eastAsia="en-KE"/>
        </w:rPr>
        <w:t> — VIX &gt; 25 sustained 2+ weeks (see Breakdowns)</w:t>
      </w:r>
    </w:p>
    <w:p w14:paraId="795E386C"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lastRenderedPageBreak/>
        <w:t>Leader CBs (RBNZ, BoC, SNB) pivot first — their shift signals broader cycle change 3–6 months ahead. Use as early warning. Less transparent CBs (SNB, BoJ, PBOC) produce larger surprises — reduce size around their meetings. SNB appears in both lists: it leads on rate cycles (respect cycle signals) but surprises on intervention/peg decisions (reduce size during SNB events).</w:t>
      </w:r>
    </w:p>
    <w:p w14:paraId="2EA77D8C"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373" w:after="107" w:line="360" w:lineRule="auto"/>
        <w:outlineLvl w:val="2"/>
        <w:rPr>
          <w:rFonts w:ascii="Verdana" w:eastAsia="Times New Roman" w:hAnsi="Verdana" w:cs="Times New Roman"/>
          <w:b/>
          <w:bCs/>
          <w:color w:val="833C0B" w:themeColor="accent2" w:themeShade="80"/>
          <w:spacing w:val="-6"/>
          <w:sz w:val="31"/>
          <w:szCs w:val="31"/>
          <w:lang w:eastAsia="en-KE"/>
        </w:rPr>
      </w:pPr>
      <w:r>
        <w:rPr>
          <w:rFonts w:ascii="Verdana" w:eastAsia="Times New Roman" w:hAnsi="Verdana" w:cs="Times New Roman"/>
          <w:b/>
          <w:bCs/>
          <w:color w:val="833C0B" w:themeColor="accent2" w:themeShade="80"/>
          <w:spacing w:val="-6"/>
          <w:sz w:val="31"/>
          <w:szCs w:val="31"/>
          <w:lang w:eastAsia="en-KE"/>
        </w:rPr>
        <w:t>Tone Modifier</w:t>
      </w:r>
    </w:p>
    <w:p w14:paraId="6A883681"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Tone overrides action in the 24 hours post-decision. A dovish hike (rate up + pause language) is bearish — the hike was priced, the pause is not. A hawkish cut (rate down + one-and-done language) is neutral-to-bullish. Signal hierarchy: Forward guidance tone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Vote split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Rate action.</w:t>
      </w:r>
    </w:p>
    <w:p w14:paraId="069FDA1E" w14:textId="77777777" w:rsidR="0090012E" w:rsidRPr="00B84C9A" w:rsidRDefault="005E6478" w:rsidP="00B84C9A">
      <w:pPr>
        <w:spacing w:before="686" w:after="686" w:line="360" w:lineRule="auto"/>
        <w:rPr>
          <w:rFonts w:ascii="Verdana" w:eastAsia="Times New Roman" w:hAnsi="Verdana" w:cs="Times New Roman"/>
          <w:color w:val="833C0B" w:themeColor="accent2" w:themeShade="80"/>
          <w:sz w:val="24"/>
          <w:szCs w:val="24"/>
          <w:lang w:eastAsia="en-KE"/>
        </w:rPr>
      </w:pPr>
      <w:r>
        <w:rPr>
          <w:rFonts w:ascii="Verdana" w:eastAsia="Times New Roman" w:hAnsi="Verdana" w:cs="Times New Roman"/>
          <w:color w:val="833C0B" w:themeColor="accent2" w:themeShade="80"/>
          <w:sz w:val="24"/>
          <w:szCs w:val="24"/>
          <w:lang w:eastAsia="en-KE"/>
        </w:rPr>
        <w:pict w14:anchorId="4CF2B708">
          <v:rect id="_x0000_i1027" style="width:0;height:0" o:hralign="center" o:hrstd="t" o:hr="t" fillcolor="#a0a0a0" stroked="f"/>
        </w:pict>
      </w:r>
    </w:p>
    <w:p w14:paraId="3D7F6FEA"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192" w:line="360" w:lineRule="auto"/>
        <w:outlineLvl w:val="1"/>
        <w:rPr>
          <w:rFonts w:ascii="Verdana" w:eastAsia="Times New Roman" w:hAnsi="Verdana" w:cs="Times New Roman"/>
          <w:b/>
          <w:bCs/>
          <w:color w:val="833C0B" w:themeColor="accent2" w:themeShade="80"/>
          <w:spacing w:val="-6"/>
          <w:sz w:val="34"/>
          <w:szCs w:val="34"/>
          <w:lang w:eastAsia="en-KE"/>
        </w:rPr>
      </w:pPr>
      <w:r>
        <w:rPr>
          <w:rFonts w:ascii="Verdana" w:eastAsia="Times New Roman" w:hAnsi="Verdana" w:cs="Times New Roman"/>
          <w:b/>
          <w:bCs/>
          <w:color w:val="833C0B" w:themeColor="accent2" w:themeShade="80"/>
          <w:spacing w:val="-6"/>
          <w:sz w:val="34"/>
          <w:szCs w:val="34"/>
          <w:lang w:eastAsia="en-KE"/>
        </w:rPr>
        <w:t>Part 2: Carry Trade Viability Gates</w:t>
      </w:r>
    </w:p>
    <w:p w14:paraId="5CF534A1"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i/>
          <w:iCs/>
          <w:color w:val="833C0B" w:themeColor="accent2" w:themeShade="80"/>
          <w:sz w:val="21"/>
          <w:szCs w:val="21"/>
          <w:bdr w:val="single" w:sz="2" w:space="0" w:color="E5E7EB" w:frame="1"/>
          <w:lang w:eastAsia="en-KE"/>
        </w:rPr>
        <w:t>Activates ONLY when holding positions for carry income (swap accumulation). Requires Part 1 to show STRONG or MAXIMUM signal strength on a carry pair (high-yield vs. funding currency) first. Run gates sequentially. All four must pass. Any single gate failure forces reassessment.</w:t>
      </w:r>
    </w:p>
    <w:p w14:paraId="45F0EF69"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Gate 1 — Sentiment Regime</w:t>
      </w:r>
    </w:p>
    <w:p w14:paraId="471D70B3" w14:textId="77777777" w:rsidR="0090012E" w:rsidRPr="00B84C9A" w:rsidRDefault="0090012E" w:rsidP="00B84C9A">
      <w:pPr>
        <w:numPr>
          <w:ilvl w:val="0"/>
          <w:numId w:val="4"/>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VIX &lt; 18 AND VIX term structure in contango (1M/3M ratio &lt; 0.975) AND HY credit spreads (ICE BofA OAS) &lt; 350bp </w:t>
      </w:r>
      <w:r>
        <w:rPr>
          <w:rFonts w:ascii="Arial" w:eastAsia="Times New Roman" w:hAnsi="Arial" w:cs="Arial"/>
          <w:color w:val="833C0B" w:themeColor="accent2" w:themeShade="80"/>
          <w:sz w:val="21"/>
          <w:szCs w:val="21"/>
          <w:lang w:eastAsia="en-KE"/>
        </w:rPr>
        <w:t>→</w:t>
      </w:r>
      <w:r>
        <w:rPr>
          <w:rFonts w:ascii="Verdana" w:eastAsia="Times New Roman" w:hAnsi="Verdana" w:cs="Verdan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RISK-ON</w:t>
      </w:r>
      <w:r>
        <w:rPr>
          <w:rFonts w:ascii="Verdana" w:eastAsia="Times New Roman" w:hAnsi="Verdana" w:cs="Times New Roman"/>
          <w:color w:val="833C0B" w:themeColor="accent2" w:themeShade="80"/>
          <w:sz w:val="21"/>
          <w:szCs w:val="21"/>
          <w:lang w:eastAsia="en-KE"/>
        </w:rPr>
        <w:t>. Proceed to Gate 2.</w:t>
      </w:r>
    </w:p>
    <w:p w14:paraId="4F796FE6" w14:textId="77777777" w:rsidR="0090012E" w:rsidRPr="00B84C9A" w:rsidRDefault="0090012E" w:rsidP="00B84C9A">
      <w:pPr>
        <w:numPr>
          <w:ilvl w:val="0"/>
          <w:numId w:val="4"/>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VIX 18–22 OR HY OAS 350–450bp OR VIX term structure flat (0.975–1.025) </w:t>
      </w:r>
      <w:r>
        <w:rPr>
          <w:rFonts w:ascii="Arial" w:eastAsia="Times New Roman" w:hAnsi="Arial" w:cs="Arial"/>
          <w:color w:val="833C0B" w:themeColor="accent2" w:themeShade="80"/>
          <w:sz w:val="21"/>
          <w:szCs w:val="21"/>
          <w:lang w:eastAsia="en-KE"/>
        </w:rPr>
        <w:t>→</w:t>
      </w:r>
      <w:r>
        <w:rPr>
          <w:rFonts w:ascii="Verdana" w:eastAsia="Times New Roman" w:hAnsi="Verdana" w:cs="Verdan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TRANSITIONAL</w:t>
      </w:r>
      <w:r>
        <w:rPr>
          <w:rFonts w:ascii="Verdana" w:eastAsia="Times New Roman" w:hAnsi="Verdana" w:cs="Times New Roman"/>
          <w:color w:val="833C0B" w:themeColor="accent2" w:themeShade="80"/>
          <w:sz w:val="21"/>
          <w:szCs w:val="21"/>
          <w:lang w:eastAsia="en-KE"/>
        </w:rPr>
        <w:t>. No new carry entries. Tighten stops on existing.</w:t>
      </w:r>
    </w:p>
    <w:p w14:paraId="00C6A17A" w14:textId="77777777" w:rsidR="0090012E" w:rsidRPr="00B84C9A" w:rsidRDefault="0090012E" w:rsidP="00B84C9A">
      <w:pPr>
        <w:numPr>
          <w:ilvl w:val="0"/>
          <w:numId w:val="4"/>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VIX &gt; 22 OR HY OAS &gt; 450bp OR VIX term structure in backwardation (&gt; 1.025) </w:t>
      </w:r>
      <w:r>
        <w:rPr>
          <w:rFonts w:ascii="Arial" w:eastAsia="Times New Roman" w:hAnsi="Arial" w:cs="Arial"/>
          <w:color w:val="833C0B" w:themeColor="accent2" w:themeShade="80"/>
          <w:sz w:val="21"/>
          <w:szCs w:val="21"/>
          <w:lang w:eastAsia="en-KE"/>
        </w:rPr>
        <w:t>→</w:t>
      </w:r>
      <w:r>
        <w:rPr>
          <w:rFonts w:ascii="Verdana" w:eastAsia="Times New Roman" w:hAnsi="Verdana" w:cs="Verdan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RISK-OFF</w:t>
      </w:r>
      <w:r>
        <w:rPr>
          <w:rFonts w:ascii="Verdana" w:eastAsia="Times New Roman" w:hAnsi="Verdana" w:cs="Times New Roman"/>
          <w:color w:val="833C0B" w:themeColor="accent2" w:themeShade="80"/>
          <w:sz w:val="21"/>
          <w:szCs w:val="21"/>
          <w:lang w:eastAsia="en-KE"/>
        </w:rPr>
        <w:t>. Exit all carry positions. Reverse bias to short carry pairs / long safe havens.</w:t>
      </w:r>
    </w:p>
    <w:p w14:paraId="5F2D6D68" w14:textId="77777777" w:rsidR="0090012E" w:rsidRPr="00B84C9A" w:rsidRDefault="0090012E" w:rsidP="00B84C9A">
      <w:pPr>
        <w:numPr>
          <w:ilvl w:val="0"/>
          <w:numId w:val="4"/>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OVERRIDE:</w:t>
      </w:r>
      <w:r>
        <w:rPr>
          <w:rFonts w:ascii="Verdana" w:eastAsia="Times New Roman" w:hAnsi="Verdana" w:cs="Times New Roman"/>
          <w:color w:val="833C0B" w:themeColor="accent2" w:themeShade="80"/>
          <w:sz w:val="21"/>
          <w:szCs w:val="21"/>
          <w:lang w:eastAsia="en-KE"/>
        </w:rPr>
        <w:t xml:space="preserve"> VIX &gt; 30 OR 5-day VIX change &gt; +8 points OR week-over-week VIX increase &gt; 30%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Force RISK-OFF regardless of other readings.</w:t>
      </w:r>
    </w:p>
    <w:p w14:paraId="6CCB0F70"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i/>
          <w:iCs/>
          <w:color w:val="833C0B" w:themeColor="accent2" w:themeShade="80"/>
          <w:sz w:val="21"/>
          <w:szCs w:val="21"/>
          <w:bdr w:val="single" w:sz="2" w:space="0" w:color="E5E7EB" w:frame="1"/>
          <w:lang w:eastAsia="en-KE"/>
        </w:rPr>
        <w:lastRenderedPageBreak/>
        <w:t>Note: Part 1 suspends rate differential bias at VIX &gt; 25 sustained 2+ weeks. Part 2's Gate 1 triggers at VIX &gt; 22. These are not contradictions — carry positions require tighter risk controls than directional trades. P19 v2.0 aging and hysteresis rules apply to general risk regime, NOT to carry viability gates. Carry gates use faster, conservative thresholds.</w:t>
      </w:r>
    </w:p>
    <w:p w14:paraId="451C2D21"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Gate 2 — Carry-to-Risk Ratio</w:t>
      </w:r>
    </w:p>
    <w:p w14:paraId="64FC2520" w14:textId="77777777" w:rsidR="0090012E" w:rsidRPr="00B84C9A" w:rsidRDefault="0090012E" w:rsidP="00B84C9A">
      <w:pPr>
        <w:numPr>
          <w:ilvl w:val="0"/>
          <w:numId w:val="5"/>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G10 pair C2R &gt; 0.5 (annualized yield differential ÷ 3-month implied FX volatility)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Proceed to Gate 3.</w:t>
      </w:r>
    </w:p>
    <w:p w14:paraId="38292A2C" w14:textId="77777777" w:rsidR="0090012E" w:rsidRPr="00B84C9A" w:rsidRDefault="0090012E" w:rsidP="00B84C9A">
      <w:pPr>
        <w:numPr>
          <w:ilvl w:val="0"/>
          <w:numId w:val="5"/>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EM pair C2R &gt; 0.3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Proceed to Gate 3, but add EM risk overlay (political risk, liquidity, capital controls).</w:t>
      </w:r>
    </w:p>
    <w:p w14:paraId="1E43A2E4" w14:textId="77777777" w:rsidR="0090012E" w:rsidRPr="00B84C9A" w:rsidRDefault="0090012E" w:rsidP="00B84C9A">
      <w:pPr>
        <w:numPr>
          <w:ilvl w:val="0"/>
          <w:numId w:val="5"/>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ratio below these floors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No viable carry. Pass.</w:t>
      </w:r>
    </w:p>
    <w:p w14:paraId="23CCD48E" w14:textId="77777777" w:rsidR="0090012E" w:rsidRPr="00B84C9A" w:rsidRDefault="0090012E" w:rsidP="00B84C9A">
      <w:pPr>
        <w:numPr>
          <w:ilvl w:val="0"/>
          <w:numId w:val="5"/>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Verify actual broker swap rate against policy-rate differential. If broker markup reduces effective carry below 200bp (G10) or 500bp (EM), negative expectancy. Pass.</w:t>
      </w:r>
    </w:p>
    <w:p w14:paraId="04030942"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Gate 3 — Forward Rate Expectations</w:t>
      </w:r>
    </w:p>
    <w:p w14:paraId="0386C8E6" w14:textId="77777777" w:rsidR="0090012E" w:rsidRPr="00B84C9A" w:rsidRDefault="0090012E" w:rsidP="00B84C9A">
      <w:pPr>
        <w:numPr>
          <w:ilvl w:val="0"/>
          <w:numId w:val="6"/>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OIS/rate futures price &lt; 50% probability of rate cuts in the high-yield currency over 6 months AND Citi Economic Surprise Index (CESI) for that economy is positive or rising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Proceed to Gate 4.</w:t>
      </w:r>
    </w:p>
    <w:p w14:paraId="64D5E191" w14:textId="77777777" w:rsidR="0090012E" w:rsidRPr="00B84C9A" w:rsidRDefault="0090012E" w:rsidP="00B84C9A">
      <w:pPr>
        <w:numPr>
          <w:ilvl w:val="0"/>
          <w:numId w:val="6"/>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market prices &gt; 50% probability of rate cuts OR CESI is negative and falling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Carry is deteriorating. Do not enter.</w:t>
      </w:r>
    </w:p>
    <w:p w14:paraId="7C3B527C" w14:textId="77777777" w:rsidR="0090012E" w:rsidRPr="00B84C9A" w:rsidRDefault="0090012E" w:rsidP="00B84C9A">
      <w:pPr>
        <w:numPr>
          <w:ilvl w:val="0"/>
          <w:numId w:val="6"/>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both sides compressing simultaneously (funding currency hiking while target currency cutting)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Maximum danger. Exit immediately.</w:t>
      </w:r>
    </w:p>
    <w:p w14:paraId="0AD864F3"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Gate 4 — Weekly Trend Confirmation</w:t>
      </w:r>
    </w:p>
    <w:p w14:paraId="2AA5622B" w14:textId="77777777" w:rsidR="0090012E" w:rsidRPr="00B84C9A" w:rsidRDefault="0090012E" w:rsidP="00B84C9A">
      <w:pPr>
        <w:numPr>
          <w:ilvl w:val="0"/>
          <w:numId w:val="7"/>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weekly close above 20-week EMA AND 20-week EMA above 50-week EMA AND ADX &gt; 25 </w:t>
      </w:r>
      <w:r>
        <w:rPr>
          <w:rFonts w:ascii="Arial" w:eastAsia="Times New Roman" w:hAnsi="Arial" w:cs="Arial"/>
          <w:color w:val="833C0B" w:themeColor="accent2" w:themeShade="80"/>
          <w:sz w:val="21"/>
          <w:szCs w:val="21"/>
          <w:lang w:eastAsia="en-KE"/>
        </w:rPr>
        <w:t>→</w:t>
      </w:r>
      <w:r>
        <w:rPr>
          <w:rFonts w:ascii="Verdana" w:eastAsia="Times New Roman" w:hAnsi="Verdana" w:cs="Verdan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BULLISH</w:t>
      </w:r>
      <w:r>
        <w:rPr>
          <w:rFonts w:ascii="Verdana" w:eastAsia="Times New Roman" w:hAnsi="Verdana" w:cs="Times New Roman"/>
          <w:color w:val="833C0B" w:themeColor="accent2" w:themeShade="80"/>
          <w:sz w:val="21"/>
          <w:szCs w:val="21"/>
          <w:lang w:eastAsia="en-KE"/>
        </w:rPr>
        <w:t> carry bias confirmed. Enter on Pipeline A technical signal.</w:t>
      </w:r>
    </w:p>
    <w:p w14:paraId="25B3E5B0" w14:textId="77777777" w:rsidR="0090012E" w:rsidRPr="00B84C9A" w:rsidRDefault="0090012E" w:rsidP="00B84C9A">
      <w:pPr>
        <w:numPr>
          <w:ilvl w:val="0"/>
          <w:numId w:val="7"/>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price between 20-week and 50-week EMAs OR ADX &lt; 25 </w:t>
      </w:r>
      <w:r>
        <w:rPr>
          <w:rFonts w:ascii="Arial" w:eastAsia="Times New Roman" w:hAnsi="Arial" w:cs="Arial"/>
          <w:color w:val="833C0B" w:themeColor="accent2" w:themeShade="80"/>
          <w:sz w:val="21"/>
          <w:szCs w:val="21"/>
          <w:lang w:eastAsia="en-KE"/>
        </w:rPr>
        <w:t>→</w:t>
      </w:r>
      <w:r>
        <w:rPr>
          <w:rFonts w:ascii="Verdana" w:eastAsia="Times New Roman" w:hAnsi="Verdana" w:cs="Verdan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NEUTRAL</w:t>
      </w:r>
      <w:r>
        <w:rPr>
          <w:rFonts w:ascii="Verdana" w:eastAsia="Times New Roman" w:hAnsi="Verdana" w:cs="Times New Roman"/>
          <w:color w:val="833C0B" w:themeColor="accent2" w:themeShade="80"/>
          <w:sz w:val="21"/>
          <w:szCs w:val="21"/>
          <w:lang w:eastAsia="en-KE"/>
        </w:rPr>
        <w:t>. No new carry entries.</w:t>
      </w:r>
    </w:p>
    <w:p w14:paraId="017F5128" w14:textId="77777777" w:rsidR="0090012E" w:rsidRPr="00B84C9A" w:rsidRDefault="0090012E" w:rsidP="00B84C9A">
      <w:pPr>
        <w:numPr>
          <w:ilvl w:val="0"/>
          <w:numId w:val="7"/>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 xml:space="preserve">IF weekly close below both EMAs OR last weekly swing low broken </w:t>
      </w:r>
      <w:r>
        <w:rPr>
          <w:rFonts w:ascii="Arial" w:eastAsia="Times New Roman" w:hAnsi="Arial" w:cs="Arial"/>
          <w:color w:val="833C0B" w:themeColor="accent2" w:themeShade="80"/>
          <w:sz w:val="21"/>
          <w:szCs w:val="21"/>
          <w:lang w:eastAsia="en-KE"/>
        </w:rPr>
        <w:t>→</w:t>
      </w:r>
      <w:r>
        <w:rPr>
          <w:rFonts w:ascii="Verdana" w:eastAsia="Times New Roman" w:hAnsi="Verdana" w:cs="Verdan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BEARISH</w:t>
      </w:r>
      <w:r>
        <w:rPr>
          <w:rFonts w:ascii="Verdana" w:eastAsia="Times New Roman" w:hAnsi="Verdana" w:cs="Times New Roman"/>
          <w:color w:val="833C0B" w:themeColor="accent2" w:themeShade="80"/>
          <w:sz w:val="21"/>
          <w:szCs w:val="21"/>
          <w:lang w:eastAsia="en-KE"/>
        </w:rPr>
        <w:t>. Do not hold carry longs.</w:t>
      </w:r>
    </w:p>
    <w:p w14:paraId="0C591233"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Crowding Gate (Continuous Monitor)</w:t>
      </w:r>
    </w:p>
    <w:p w14:paraId="501BD783" w14:textId="77777777" w:rsidR="0090012E" w:rsidRPr="00B84C9A" w:rsidRDefault="0090012E" w:rsidP="00B84C9A">
      <w:pPr>
        <w:numPr>
          <w:ilvl w:val="0"/>
          <w:numId w:val="8"/>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lastRenderedPageBreak/>
        <w:t xml:space="preserve">IF CFTC COT net short positioning on the funding currency exceeds the 90th percentile of its 3-year range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Reduce position size by 50% even if all gates pass. Minor catalysts trigger catastrophic unwinds at extreme positioning. (Protocol 22 — COT Contrarian Reversal Protocol — is the detailed COT system; this is a simplified carry-specific application.) Data availability: Until 3 years of COT data exist, use the maximum available lookback (currently ~15 months). The 90th percentile threshold remains operative at shorter lookbacks but may be less stable.</w:t>
      </w:r>
    </w:p>
    <w:p w14:paraId="5727AFA4" w14:textId="77777777" w:rsidR="0090012E" w:rsidRPr="00B84C9A" w:rsidRDefault="005E6478" w:rsidP="00B84C9A">
      <w:pPr>
        <w:spacing w:before="686" w:after="686" w:line="360" w:lineRule="auto"/>
        <w:rPr>
          <w:rFonts w:ascii="Verdana" w:eastAsia="Times New Roman" w:hAnsi="Verdana" w:cs="Times New Roman"/>
          <w:color w:val="833C0B" w:themeColor="accent2" w:themeShade="80"/>
          <w:sz w:val="24"/>
          <w:szCs w:val="24"/>
          <w:lang w:eastAsia="en-KE"/>
        </w:rPr>
      </w:pPr>
      <w:r>
        <w:rPr>
          <w:rFonts w:ascii="Verdana" w:eastAsia="Times New Roman" w:hAnsi="Verdana" w:cs="Times New Roman"/>
          <w:color w:val="833C0B" w:themeColor="accent2" w:themeShade="80"/>
          <w:sz w:val="24"/>
          <w:szCs w:val="24"/>
          <w:lang w:eastAsia="en-KE"/>
        </w:rPr>
        <w:pict w14:anchorId="16648A85">
          <v:rect id="_x0000_i1028" style="width:0;height:0" o:hralign="center" o:hrstd="t" o:hr="t" fillcolor="#a0a0a0" stroked="f"/>
        </w:pict>
      </w:r>
    </w:p>
    <w:p w14:paraId="288A1014"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192" w:line="360" w:lineRule="auto"/>
        <w:outlineLvl w:val="1"/>
        <w:rPr>
          <w:rFonts w:ascii="Verdana" w:eastAsia="Times New Roman" w:hAnsi="Verdana" w:cs="Times New Roman"/>
          <w:b/>
          <w:bCs/>
          <w:color w:val="833C0B" w:themeColor="accent2" w:themeShade="80"/>
          <w:spacing w:val="-6"/>
          <w:sz w:val="34"/>
          <w:szCs w:val="34"/>
          <w:lang w:eastAsia="en-KE"/>
        </w:rPr>
      </w:pPr>
      <w:r>
        <w:rPr>
          <w:rFonts w:ascii="Verdana" w:eastAsia="Times New Roman" w:hAnsi="Verdana" w:cs="Times New Roman"/>
          <w:b/>
          <w:bCs/>
          <w:color w:val="833C0B" w:themeColor="accent2" w:themeShade="80"/>
          <w:spacing w:val="-6"/>
          <w:sz w:val="34"/>
          <w:szCs w:val="34"/>
          <w:lang w:eastAsia="en-KE"/>
        </w:rPr>
        <w:t>Data Sources</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1"/>
        <w:gridCol w:w="2804"/>
        <w:gridCol w:w="2160"/>
      </w:tblGrid>
      <w:tr w:rsidR="00B84C9A" w:rsidRPr="00B84C9A" w14:paraId="7359873F" w14:textId="77777777" w:rsidTr="0090012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3979F83" w14:textId="77777777" w:rsidR="0090012E" w:rsidRPr="00B84C9A" w:rsidRDefault="0090012E" w:rsidP="00B84C9A">
            <w:pPr>
              <w:spacing w:before="480" w:after="480" w:line="360" w:lineRule="auto"/>
              <w:jc w:val="center"/>
              <w:rPr>
                <w:rFonts w:ascii="Verdana" w:eastAsia="Times New Roman" w:hAnsi="Verdana" w:cs="Times New Roman"/>
                <w:b/>
                <w:bCs/>
                <w:color w:val="833C0B" w:themeColor="accent2" w:themeShade="80"/>
                <w:sz w:val="21"/>
                <w:szCs w:val="21"/>
                <w:lang w:eastAsia="en-KE"/>
              </w:rPr>
            </w:pPr>
            <w:r>
              <w:rPr>
                <w:rFonts w:ascii="Verdana" w:eastAsia="Times New Roman" w:hAnsi="Verdana" w:cs="Times New Roman"/>
                <w:b/>
                <w:bCs/>
                <w:color w:val="833C0B" w:themeColor="accent2" w:themeShade="80"/>
                <w:sz w:val="21"/>
                <w:szCs w:val="21"/>
                <w:lang w:eastAsia="en-KE"/>
              </w:rPr>
              <w:t>Source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CF5308" w14:textId="77777777" w:rsidR="0090012E" w:rsidRPr="00B84C9A" w:rsidRDefault="0090012E" w:rsidP="00B84C9A">
            <w:pPr>
              <w:spacing w:before="480" w:after="480" w:line="360" w:lineRule="auto"/>
              <w:jc w:val="center"/>
              <w:rPr>
                <w:rFonts w:ascii="Verdana" w:eastAsia="Times New Roman" w:hAnsi="Verdana" w:cs="Times New Roman"/>
                <w:b/>
                <w:bCs/>
                <w:color w:val="833C0B" w:themeColor="accent2" w:themeShade="80"/>
                <w:sz w:val="21"/>
                <w:szCs w:val="21"/>
                <w:lang w:eastAsia="en-KE"/>
              </w:rPr>
            </w:pPr>
            <w:r>
              <w:rPr>
                <w:rFonts w:ascii="Verdana" w:eastAsia="Times New Roman" w:hAnsi="Verdana" w:cs="Times New Roman"/>
                <w:b/>
                <w:bCs/>
                <w:color w:val="833C0B" w:themeColor="accent2" w:themeShade="80"/>
                <w:sz w:val="21"/>
                <w:szCs w:val="21"/>
                <w:lang w:eastAsia="en-KE"/>
              </w:rPr>
              <w:t>What It Tells You</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EB15011" w14:textId="77777777" w:rsidR="0090012E" w:rsidRPr="00B84C9A" w:rsidRDefault="0090012E" w:rsidP="00B84C9A">
            <w:pPr>
              <w:spacing w:before="480" w:after="480" w:line="360" w:lineRule="auto"/>
              <w:jc w:val="center"/>
              <w:rPr>
                <w:rFonts w:ascii="Verdana" w:eastAsia="Times New Roman" w:hAnsi="Verdana" w:cs="Times New Roman"/>
                <w:b/>
                <w:bCs/>
                <w:color w:val="833C0B" w:themeColor="accent2" w:themeShade="80"/>
                <w:sz w:val="21"/>
                <w:szCs w:val="21"/>
                <w:lang w:eastAsia="en-KE"/>
              </w:rPr>
            </w:pPr>
            <w:r>
              <w:rPr>
                <w:rFonts w:ascii="Verdana" w:eastAsia="Times New Roman" w:hAnsi="Verdana" w:cs="Times New Roman"/>
                <w:b/>
                <w:bCs/>
                <w:color w:val="833C0B" w:themeColor="accent2" w:themeShade="80"/>
                <w:sz w:val="21"/>
                <w:szCs w:val="21"/>
                <w:lang w:eastAsia="en-KE"/>
              </w:rPr>
              <w:t>Check Frequency</w:t>
            </w:r>
          </w:p>
        </w:tc>
      </w:tr>
      <w:tr w:rsidR="00B84C9A" w:rsidRPr="00B84C9A" w14:paraId="536D7CED" w14:textId="77777777" w:rsidTr="0090012E">
        <w:tc>
          <w:tcPr>
            <w:tcW w:w="0" w:type="auto"/>
            <w:tcBorders>
              <w:top w:val="single" w:sz="2" w:space="0" w:color="E5E7EB"/>
              <w:left w:val="single" w:sz="2" w:space="0" w:color="E5E7EB"/>
              <w:bottom w:val="single" w:sz="2" w:space="0" w:color="E5E7EB"/>
              <w:right w:val="single" w:sz="2" w:space="0" w:color="E5E7EB"/>
            </w:tcBorders>
            <w:vAlign w:val="bottom"/>
            <w:hideMark/>
          </w:tcPr>
          <w:p w14:paraId="4CA66B74"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2Y bond yield spreads (TradingView)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752CD0"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Primary differential across all pairs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450213"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Weekly + after Tier 1 data</w:t>
            </w:r>
          </w:p>
        </w:tc>
      </w:tr>
      <w:tr w:rsidR="00B84C9A" w:rsidRPr="00B84C9A" w14:paraId="21E03F86" w14:textId="77777777" w:rsidTr="0090012E">
        <w:tc>
          <w:tcPr>
            <w:tcW w:w="0" w:type="auto"/>
            <w:tcBorders>
              <w:top w:val="single" w:sz="2" w:space="0" w:color="E5E7EB"/>
              <w:left w:val="single" w:sz="2" w:space="0" w:color="E5E7EB"/>
              <w:bottom w:val="single" w:sz="2" w:space="0" w:color="E5E7EB"/>
              <w:right w:val="single" w:sz="2" w:space="0" w:color="E5E7EB"/>
            </w:tcBorders>
            <w:vAlign w:val="bottom"/>
            <w:hideMark/>
          </w:tcPr>
          <w:p w14:paraId="2A5E6AC3"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CME FedWatch / ASX RBA Rate Tracker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328C71"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Market-implied rate probabilities, OIS pricing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42771C"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Before/after data releases</w:t>
            </w:r>
          </w:p>
        </w:tc>
      </w:tr>
      <w:tr w:rsidR="00B84C9A" w:rsidRPr="00B84C9A" w14:paraId="0C908A93" w14:textId="77777777" w:rsidTr="0090012E">
        <w:tc>
          <w:tcPr>
            <w:tcW w:w="0" w:type="auto"/>
            <w:tcBorders>
              <w:top w:val="single" w:sz="2" w:space="0" w:color="E5E7EB"/>
              <w:left w:val="single" w:sz="2" w:space="0" w:color="E5E7EB"/>
              <w:bottom w:val="single" w:sz="2" w:space="0" w:color="E5E7EB"/>
              <w:right w:val="single" w:sz="2" w:space="0" w:color="E5E7EB"/>
            </w:tcBorders>
            <w:vAlign w:val="bottom"/>
            <w:hideMark/>
          </w:tcPr>
          <w:p w14:paraId="32F1B3B3"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CB statements &amp; pressers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87A075"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Tone, forward guidance, vote splits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239ED1"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Every CB meeting (live)</w:t>
            </w:r>
          </w:p>
        </w:tc>
      </w:tr>
      <w:tr w:rsidR="00B84C9A" w:rsidRPr="00B84C9A" w14:paraId="0B30684B" w14:textId="77777777" w:rsidTr="0090012E">
        <w:tc>
          <w:tcPr>
            <w:tcW w:w="0" w:type="auto"/>
            <w:tcBorders>
              <w:top w:val="single" w:sz="2" w:space="0" w:color="E5E7EB"/>
              <w:left w:val="single" w:sz="2" w:space="0" w:color="E5E7EB"/>
              <w:bottom w:val="single" w:sz="2" w:space="0" w:color="E5E7EB"/>
              <w:right w:val="single" w:sz="2" w:space="0" w:color="E5E7EB"/>
            </w:tcBorders>
            <w:vAlign w:val="bottom"/>
            <w:hideMark/>
          </w:tcPr>
          <w:p w14:paraId="2020EA4B"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RBNZ OCR track (rbnz.govt.nz)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C8FE43"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Explicit projected NZD rate path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CF20F7"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Quarterly</w:t>
            </w:r>
          </w:p>
        </w:tc>
      </w:tr>
      <w:tr w:rsidR="00B84C9A" w:rsidRPr="00B84C9A" w14:paraId="1641A41A" w14:textId="77777777" w:rsidTr="0090012E">
        <w:tc>
          <w:tcPr>
            <w:tcW w:w="0" w:type="auto"/>
            <w:tcBorders>
              <w:top w:val="single" w:sz="2" w:space="0" w:color="E5E7EB"/>
              <w:left w:val="single" w:sz="2" w:space="0" w:color="E5E7EB"/>
              <w:bottom w:val="single" w:sz="2" w:space="0" w:color="E5E7EB"/>
              <w:right w:val="single" w:sz="2" w:space="0" w:color="E5E7EB"/>
            </w:tcBorders>
            <w:vAlign w:val="bottom"/>
            <w:hideMark/>
          </w:tcPr>
          <w:p w14:paraId="5B1DC070"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lastRenderedPageBreak/>
              <w:t>Fed dot plot (federalreserve.gov)</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6C7590"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FOMC terminal rate projections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E6C5DE"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Quarterly (Mar, Jun, Sep, Dec)</w:t>
            </w:r>
          </w:p>
        </w:tc>
      </w:tr>
      <w:tr w:rsidR="00B84C9A" w:rsidRPr="00B84C9A" w14:paraId="3032DE89" w14:textId="77777777" w:rsidTr="0090012E">
        <w:tc>
          <w:tcPr>
            <w:tcW w:w="0" w:type="auto"/>
            <w:tcBorders>
              <w:top w:val="single" w:sz="2" w:space="0" w:color="E5E7EB"/>
              <w:left w:val="single" w:sz="2" w:space="0" w:color="E5E7EB"/>
              <w:bottom w:val="single" w:sz="2" w:space="0" w:color="E5E7EB"/>
              <w:right w:val="single" w:sz="2" w:space="0" w:color="E5E7EB"/>
            </w:tcBorders>
            <w:vAlign w:val="bottom"/>
            <w:hideMark/>
          </w:tcPr>
          <w:p w14:paraId="6F4133BD"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VIX level + term structure (TradingView / cboe.com)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6ABFA3"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Part 1 suspension trigger + Part 2 Gate 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46B24C"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Daily</w:t>
            </w:r>
          </w:p>
        </w:tc>
      </w:tr>
      <w:tr w:rsidR="00B84C9A" w:rsidRPr="00B84C9A" w14:paraId="501E6BC0" w14:textId="77777777" w:rsidTr="0090012E">
        <w:tc>
          <w:tcPr>
            <w:tcW w:w="0" w:type="auto"/>
            <w:tcBorders>
              <w:top w:val="single" w:sz="2" w:space="0" w:color="E5E7EB"/>
              <w:left w:val="single" w:sz="2" w:space="0" w:color="E5E7EB"/>
              <w:bottom w:val="single" w:sz="2" w:space="0" w:color="E5E7EB"/>
              <w:right w:val="single" w:sz="2" w:space="0" w:color="E5E7EB"/>
            </w:tcBorders>
            <w:vAlign w:val="bottom"/>
            <w:hideMark/>
          </w:tcPr>
          <w:p w14:paraId="2A8FE7D7"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DXY / BBDXY (TradingView)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BDF42D"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USD strength confirmation — if bias is bullish USD but DXY declining, reduce conviction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4D50B8"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Weekly</w:t>
            </w:r>
          </w:p>
        </w:tc>
      </w:tr>
      <w:tr w:rsidR="00B84C9A" w:rsidRPr="00B84C9A" w14:paraId="48C4612D" w14:textId="77777777" w:rsidTr="0090012E">
        <w:tc>
          <w:tcPr>
            <w:tcW w:w="0" w:type="auto"/>
            <w:tcBorders>
              <w:top w:val="single" w:sz="2" w:space="0" w:color="E5E7EB"/>
              <w:left w:val="single" w:sz="2" w:space="0" w:color="E5E7EB"/>
              <w:bottom w:val="single" w:sz="2" w:space="0" w:color="E5E7EB"/>
              <w:right w:val="single" w:sz="2" w:space="0" w:color="E5E7EB"/>
            </w:tcBorders>
            <w:vAlign w:val="bottom"/>
            <w:hideMark/>
          </w:tcPr>
          <w:p w14:paraId="3A187479"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HY credit spreads — FRED BAMLH0A0HYM2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3929FC"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Gate 1 risk regime input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0C9531"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Daily</w:t>
            </w:r>
          </w:p>
        </w:tc>
      </w:tr>
      <w:tr w:rsidR="00B84C9A" w:rsidRPr="00B84C9A" w14:paraId="123EF82D" w14:textId="77777777" w:rsidTr="0090012E">
        <w:tc>
          <w:tcPr>
            <w:tcW w:w="0" w:type="auto"/>
            <w:tcBorders>
              <w:top w:val="single" w:sz="2" w:space="0" w:color="E5E7EB"/>
              <w:left w:val="single" w:sz="2" w:space="0" w:color="E5E7EB"/>
              <w:bottom w:val="single" w:sz="2" w:space="0" w:color="E5E7EB"/>
              <w:right w:val="single" w:sz="2" w:space="0" w:color="E5E7EB"/>
            </w:tcBorders>
            <w:vAlign w:val="bottom"/>
            <w:hideMark/>
          </w:tcPr>
          <w:p w14:paraId="30D0D629"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Implied FX volatility (broker options chain / Investing.com)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B4C26D"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Gate 2 C2R denominator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93C023"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Weekly</w:t>
            </w:r>
          </w:p>
        </w:tc>
      </w:tr>
      <w:tr w:rsidR="00B84C9A" w:rsidRPr="00B84C9A" w14:paraId="67F3928B" w14:textId="77777777" w:rsidTr="0090012E">
        <w:tc>
          <w:tcPr>
            <w:tcW w:w="0" w:type="auto"/>
            <w:tcBorders>
              <w:top w:val="single" w:sz="2" w:space="0" w:color="E5E7EB"/>
              <w:left w:val="single" w:sz="2" w:space="0" w:color="E5E7EB"/>
              <w:bottom w:val="single" w:sz="2" w:space="0" w:color="E5E7EB"/>
              <w:right w:val="single" w:sz="2" w:space="0" w:color="E5E7EB"/>
            </w:tcBorders>
            <w:vAlign w:val="bottom"/>
            <w:hideMark/>
          </w:tcPr>
          <w:p w14:paraId="14C39AC3"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lastRenderedPageBreak/>
              <w:t>CESI (Bloomberg terminal / MarketWatch)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14D819"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Gate 3 momentum confirmation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B305D5"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Weekly</w:t>
            </w:r>
          </w:p>
        </w:tc>
      </w:tr>
      <w:tr w:rsidR="00B84C9A" w:rsidRPr="00B84C9A" w14:paraId="5DD94156" w14:textId="77777777" w:rsidTr="0090012E">
        <w:tc>
          <w:tcPr>
            <w:tcW w:w="0" w:type="auto"/>
            <w:tcBorders>
              <w:top w:val="single" w:sz="2" w:space="0" w:color="E5E7EB"/>
              <w:left w:val="single" w:sz="2" w:space="0" w:color="E5E7EB"/>
              <w:bottom w:val="single" w:sz="2" w:space="0" w:color="E5E7EB"/>
              <w:right w:val="single" w:sz="2" w:space="0" w:color="E5E7EB"/>
            </w:tcBorders>
            <w:vAlign w:val="bottom"/>
            <w:hideMark/>
          </w:tcPr>
          <w:p w14:paraId="0649DA5B"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CFTC COT (cftc.gov / tradingster.com)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4A9233"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Crowding Gate — funding currency positioning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D790C1"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Weekly (Friday release)</w:t>
            </w:r>
          </w:p>
        </w:tc>
      </w:tr>
      <w:tr w:rsidR="00B84C9A" w:rsidRPr="00B84C9A" w14:paraId="3349E1B3" w14:textId="77777777" w:rsidTr="0090012E">
        <w:tc>
          <w:tcPr>
            <w:tcW w:w="0" w:type="auto"/>
            <w:tcBorders>
              <w:top w:val="single" w:sz="2" w:space="0" w:color="E5E7EB"/>
              <w:left w:val="single" w:sz="2" w:space="0" w:color="E5E7EB"/>
              <w:bottom w:val="single" w:sz="2" w:space="0" w:color="E5E7EB"/>
              <w:right w:val="single" w:sz="2" w:space="0" w:color="E5E7EB"/>
            </w:tcBorders>
            <w:vAlign w:val="bottom"/>
            <w:hideMark/>
          </w:tcPr>
          <w:p w14:paraId="72AC5894"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Broker swap rates (contract specifications)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CF2BE3"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Verify effective carry before every entry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D382B3"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Per trade</w:t>
            </w:r>
          </w:p>
        </w:tc>
      </w:tr>
      <w:tr w:rsidR="00B84C9A" w:rsidRPr="00B84C9A" w14:paraId="0CF30F7C" w14:textId="77777777" w:rsidTr="0090012E">
        <w:tc>
          <w:tcPr>
            <w:tcW w:w="0" w:type="auto"/>
            <w:tcBorders>
              <w:top w:val="single" w:sz="2" w:space="0" w:color="E5E7EB"/>
              <w:left w:val="single" w:sz="2" w:space="0" w:color="E5E7EB"/>
              <w:bottom w:val="single" w:sz="2" w:space="0" w:color="E5E7EB"/>
              <w:right w:val="single" w:sz="2" w:space="0" w:color="E5E7EB"/>
            </w:tcBorders>
            <w:vAlign w:val="bottom"/>
            <w:hideMark/>
          </w:tcPr>
          <w:p w14:paraId="34644D3F"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CB policy rates: RBA, BoJ, RBNZ, Banxico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F42CBA"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Carry differential numerator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648FF2" w14:textId="77777777" w:rsidR="0090012E" w:rsidRPr="00B84C9A" w:rsidRDefault="0090012E" w:rsidP="00B84C9A">
            <w:pPr>
              <w:spacing w:before="480" w:after="480"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Per CB meeting</w:t>
            </w:r>
          </w:p>
        </w:tc>
      </w:tr>
    </w:tbl>
    <w:p w14:paraId="63A5AFFB" w14:textId="77777777" w:rsidR="0090012E" w:rsidRPr="00B84C9A" w:rsidRDefault="005E6478" w:rsidP="00B84C9A">
      <w:pPr>
        <w:spacing w:before="686" w:after="686" w:line="360" w:lineRule="auto"/>
        <w:rPr>
          <w:rFonts w:ascii="Verdana" w:eastAsia="Times New Roman" w:hAnsi="Verdana" w:cs="Times New Roman"/>
          <w:color w:val="833C0B" w:themeColor="accent2" w:themeShade="80"/>
          <w:sz w:val="24"/>
          <w:szCs w:val="24"/>
          <w:lang w:eastAsia="en-KE"/>
        </w:rPr>
      </w:pPr>
      <w:r>
        <w:rPr>
          <w:rFonts w:ascii="Verdana" w:eastAsia="Times New Roman" w:hAnsi="Verdana" w:cs="Times New Roman"/>
          <w:color w:val="833C0B" w:themeColor="accent2" w:themeShade="80"/>
          <w:sz w:val="24"/>
          <w:szCs w:val="24"/>
          <w:lang w:eastAsia="en-KE"/>
        </w:rPr>
        <w:pict w14:anchorId="2A22D746">
          <v:rect id="_x0000_i1029" style="width:0;height:0" o:hralign="center" o:hrstd="t" o:hr="t" fillcolor="#a0a0a0" stroked="f"/>
        </w:pict>
      </w:r>
    </w:p>
    <w:p w14:paraId="31B2C3D4" w14:textId="31B2C3D5" w:rsidR="00AB1234" w:rsidRDefault="00AB1234" w:rsidP="00B84C9A">
      <w:pPr>
        <w:pBdr>
          <w:top w:val="single" w:sz="2" w:space="0" w:color="E5E7EB"/>
          <w:left w:val="single" w:sz="2" w:space="0" w:color="E5E7EB"/>
          <w:bottom w:val="single" w:sz="2" w:space="0" w:color="E5E7EB"/>
          <w:right w:val="single" w:sz="2" w:space="0" w:color="E5E7EB"/>
        </w:pBdr>
        <w:spacing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lang w:eastAsia="en-KE"/>
        </w:rPr>
        <w:t>Data Source Proxies:</w:t>
      </w:r>
      <w:r>
        <w:rPr>
          <w:rFonts w:ascii="Verdana" w:eastAsia="Times New Roman" w:hAnsi="Verdana" w:cs="Times New Roman"/>
          <w:color w:val="833C0B" w:themeColor="accent2" w:themeShade="80"/>
          <w:sz w:val="21"/>
          <w:szCs w:val="21"/>
          <w:lang w:eastAsia="en-KE"/>
        </w:rPr>
        <w:t xml:space="preserve"> 3-month implied FX vol proxy: TradingView FX:EURUSDV3M (or equivalent per pair). CESI proxy: Count Tier-1 economic data beats vs. misses over 30 days for the target economy. More beats than misses = positive surprise = proceed. More misses = negative = do not enter.</w:t>
      </w:r>
    </w:p>
    <w:p w14:paraId="665D2944"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192" w:line="360" w:lineRule="auto"/>
        <w:outlineLvl w:val="1"/>
        <w:rPr>
          <w:rFonts w:ascii="Verdana" w:eastAsia="Times New Roman" w:hAnsi="Verdana" w:cs="Times New Roman"/>
          <w:b/>
          <w:bCs/>
          <w:color w:val="833C0B" w:themeColor="accent2" w:themeShade="80"/>
          <w:spacing w:val="-6"/>
          <w:sz w:val="34"/>
          <w:szCs w:val="34"/>
          <w:lang w:eastAsia="en-KE"/>
        </w:rPr>
      </w:pPr>
      <w:r>
        <w:rPr>
          <w:rFonts w:ascii="Verdana" w:eastAsia="Times New Roman" w:hAnsi="Verdana" w:cs="Times New Roman"/>
          <w:b/>
          <w:bCs/>
          <w:color w:val="833C0B" w:themeColor="accent2" w:themeShade="80"/>
          <w:spacing w:val="-6"/>
          <w:sz w:val="34"/>
          <w:szCs w:val="34"/>
          <w:lang w:eastAsia="en-KE"/>
        </w:rPr>
        <w:t>Breakdowns</w:t>
      </w:r>
    </w:p>
    <w:p w14:paraId="1F0503ED"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Both Parts:</w:t>
      </w:r>
    </w:p>
    <w:p w14:paraId="1E7455FE" w14:textId="77777777" w:rsidR="0090012E" w:rsidRPr="00B84C9A" w:rsidRDefault="0090012E" w:rsidP="00B84C9A">
      <w:pPr>
        <w:numPr>
          <w:ilvl w:val="0"/>
          <w:numId w:val="9"/>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Verdana" w:eastAsia="Times New Roman" w:hAnsi="Verdana" w:cs="Cambri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Carry trade unwind:</w:t>
      </w:r>
      <w:r>
        <w:rPr>
          <w:rFonts w:ascii="Verdana" w:eastAsia="Times New Roman" w:hAnsi="Verdana" w:cs="Times New Roman"/>
          <w:color w:val="833C0B" w:themeColor="accent2" w:themeShade="80"/>
          <w:sz w:val="21"/>
          <w:szCs w:val="21"/>
          <w:lang w:eastAsia="en-KE"/>
        </w:rPr>
        <w:t xml:space="preserve"> Differential &lt; 200bp AND USD/JPY implied vol &gt; 15% AND cross-asset correlations breaking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Suspend bias on JPY/CHF funding-currency pairs. Relative equity performance divergence is a leading indicator. If both sides compressing simultaneously (funding currency hiking + target cutting), exit immediately — this is the August 2024 trigger pattern.</w:t>
      </w:r>
    </w:p>
    <w:p w14:paraId="7013C245" w14:textId="77777777" w:rsidR="0090012E" w:rsidRPr="00B84C9A" w:rsidRDefault="0090012E" w:rsidP="00B84C9A">
      <w:pPr>
        <w:numPr>
          <w:ilvl w:val="0"/>
          <w:numId w:val="9"/>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lastRenderedPageBreak/>
        <w:t>❌</w:t>
      </w:r>
      <w:r>
        <w:rPr>
          <w:rFonts w:ascii="Verdana" w:eastAsia="Times New Roman" w:hAnsi="Verdana" w:cs="Cambri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CB intervention zone:</w:t>
      </w:r>
      <w:r>
        <w:rPr>
          <w:rFonts w:ascii="Verdana" w:eastAsia="Times New Roman" w:hAnsi="Verdana" w:cs="Times New Roman"/>
          <w:color w:val="833C0B" w:themeColor="accent2" w:themeShade="80"/>
          <w:sz w:val="21"/>
          <w:szCs w:val="21"/>
          <w:lang w:eastAsia="en-KE"/>
        </w:rPr>
        <w:t xml:space="preserve"> JPY, CHF, or CNY pairs near historically defended levels + officials using "excessive volatility" / "disorderly" language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Deny entries in the differential's direction. Tail risk is asymmetric.</w:t>
      </w:r>
    </w:p>
    <w:p w14:paraId="4110B878"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Part 1 Only:</w:t>
      </w:r>
    </w:p>
    <w:p w14:paraId="3981A08C" w14:textId="77777777" w:rsidR="0090012E" w:rsidRPr="00B84C9A" w:rsidRDefault="0090012E" w:rsidP="00B84C9A">
      <w:pPr>
        <w:numPr>
          <w:ilvl w:val="0"/>
          <w:numId w:val="10"/>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Verdana" w:eastAsia="Times New Roman" w:hAnsi="Verdana" w:cs="Cambri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VIX &gt; 25 sustained 2+ weeks:</w:t>
      </w:r>
      <w:r>
        <w:rPr>
          <w:rFonts w:ascii="Verdana" w:eastAsia="Times New Roman" w:hAnsi="Verdana" w:cs="Times New Roman"/>
          <w:color w:val="833C0B" w:themeColor="accent2" w:themeShade="80"/>
          <w:sz w:val="21"/>
          <w:szCs w:val="21"/>
          <w:lang w:eastAsia="en-KE"/>
        </w:rPr>
        <w:t> Suspend all rate differential bias. Safe-haven flows override yield advantage. VIX &gt; 30 = full crisis — safe havens only.</w:t>
      </w:r>
    </w:p>
    <w:p w14:paraId="3CF8E33E" w14:textId="77777777" w:rsidR="0090012E" w:rsidRPr="00B84C9A" w:rsidRDefault="0090012E" w:rsidP="00B84C9A">
      <w:pPr>
        <w:numPr>
          <w:ilvl w:val="0"/>
          <w:numId w:val="10"/>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Verdana" w:eastAsia="Times New Roman" w:hAnsi="Verdana" w:cs="Cambri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Tone-action contradiction:</w:t>
      </w:r>
      <w:r>
        <w:rPr>
          <w:rFonts w:ascii="Verdana" w:eastAsia="Times New Roman" w:hAnsi="Verdana" w:cs="Times New Roman"/>
          <w:color w:val="833C0B" w:themeColor="accent2" w:themeShade="80"/>
          <w:sz w:val="21"/>
          <w:szCs w:val="21"/>
          <w:lang w:eastAsia="en-KE"/>
        </w:rPr>
        <w:t xml:space="preserve"> Dovish hike or hawkish cut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Standard differential bias is wrong for 24+ hours. Follow tone, not action.</w:t>
      </w:r>
    </w:p>
    <w:p w14:paraId="333286D5" w14:textId="77777777" w:rsidR="0090012E" w:rsidRPr="00B84C9A" w:rsidRDefault="0090012E" w:rsidP="00B84C9A">
      <w:pPr>
        <w:numPr>
          <w:ilvl w:val="0"/>
          <w:numId w:val="10"/>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Verdana" w:eastAsia="Times New Roman" w:hAnsi="Verdana" w:cs="Cambri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Fiscal-driven yield spike:</w:t>
      </w:r>
      <w:r>
        <w:rPr>
          <w:rFonts w:ascii="Verdana" w:eastAsia="Times New Roman" w:hAnsi="Verdana" w:cs="Times New Roman"/>
          <w:color w:val="833C0B" w:themeColor="accent2" w:themeShade="80"/>
          <w:sz w:val="21"/>
          <w:szCs w:val="21"/>
          <w:lang w:eastAsia="en-KE"/>
        </w:rPr>
        <w:t xml:space="preserve"> Rates rising from bond market rejection of fiscal policy, not CB tightening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Currency weakens despite higher yields.</w:t>
      </w:r>
    </w:p>
    <w:p w14:paraId="346B73E5" w14:textId="77777777" w:rsidR="0090012E" w:rsidRPr="00B84C9A" w:rsidRDefault="0090012E" w:rsidP="00B84C9A">
      <w:pPr>
        <w:numPr>
          <w:ilvl w:val="0"/>
          <w:numId w:val="10"/>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Verdana" w:eastAsia="Times New Roman" w:hAnsi="Verdana" w:cs="Cambri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Real-nominal divergence:</w:t>
      </w:r>
      <w:r>
        <w:rPr>
          <w:rFonts w:ascii="Verdana" w:eastAsia="Times New Roman" w:hAnsi="Verdana" w:cs="Times New Roman"/>
          <w:color w:val="833C0B" w:themeColor="accent2" w:themeShade="80"/>
          <w:sz w:val="21"/>
          <w:szCs w:val="21"/>
          <w:lang w:eastAsia="en-KE"/>
        </w:rPr>
        <w:t> High inflation erodes nominal advantage. 5% rates with 6% inflation loses to 2% rates with 1% inflation. Trust real rates.</w:t>
      </w:r>
    </w:p>
    <w:p w14:paraId="1949DBDB" w14:textId="77777777" w:rsidR="0090012E" w:rsidRPr="00B84C9A" w:rsidRDefault="0090012E" w:rsidP="00B84C9A">
      <w:pPr>
        <w:numPr>
          <w:ilvl w:val="0"/>
          <w:numId w:val="10"/>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Verdana" w:eastAsia="Times New Roman" w:hAnsi="Verdana" w:cs="Cambri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Synchronized policy / zero lower bound:</w:t>
      </w:r>
      <w:r>
        <w:rPr>
          <w:rFonts w:ascii="Verdana" w:eastAsia="Times New Roman" w:hAnsi="Verdana" w:cs="Times New Roman"/>
          <w:color w:val="833C0B" w:themeColor="accent2" w:themeShade="80"/>
          <w:sz w:val="21"/>
          <w:szCs w:val="21"/>
          <w:lang w:eastAsia="en-KE"/>
        </w:rPr>
        <w:t xml:space="preserve"> All major CBs moving same direction at same pace, or rates near zero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Differential signal compressed. Reduce conviction sharply.</w:t>
      </w:r>
    </w:p>
    <w:p w14:paraId="418414DC"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Part 2 Only:</w:t>
      </w:r>
    </w:p>
    <w:p w14:paraId="03210D86" w14:textId="77777777" w:rsidR="0090012E" w:rsidRPr="00B84C9A" w:rsidRDefault="0090012E" w:rsidP="00B84C9A">
      <w:pPr>
        <w:numPr>
          <w:ilvl w:val="0"/>
          <w:numId w:val="11"/>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Verdana" w:eastAsia="Times New Roman" w:hAnsi="Verdana" w:cs="Cambri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Liquidity black hole (SNB 2015 type):</w:t>
      </w:r>
      <w:r>
        <w:rPr>
          <w:rFonts w:ascii="Verdana" w:eastAsia="Times New Roman" w:hAnsi="Verdana" w:cs="Times New Roman"/>
          <w:color w:val="833C0B" w:themeColor="accent2" w:themeShade="80"/>
          <w:sz w:val="21"/>
          <w:szCs w:val="21"/>
          <w:lang w:eastAsia="en-KE"/>
        </w:rPr>
        <w:t> Central bank abandons peg or intervenes without warning. Stops skip. No defense — avoid pairs with artificial floors/ceilings.</w:t>
      </w:r>
    </w:p>
    <w:p w14:paraId="261079BD" w14:textId="77777777" w:rsidR="0090012E" w:rsidRPr="00B84C9A" w:rsidRDefault="0090012E" w:rsidP="00B84C9A">
      <w:pPr>
        <w:numPr>
          <w:ilvl w:val="0"/>
          <w:numId w:val="11"/>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Verdana" w:eastAsia="Times New Roman" w:hAnsi="Verdana" w:cs="Cambri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Margin cascade (August 2024 type):</w:t>
      </w:r>
      <w:r>
        <w:rPr>
          <w:rFonts w:ascii="Verdana" w:eastAsia="Times New Roman" w:hAnsi="Verdana" w:cs="Times New Roman"/>
          <w:color w:val="833C0B" w:themeColor="accent2" w:themeShade="80"/>
          <w:sz w:val="21"/>
          <w:szCs w:val="21"/>
          <w:lang w:eastAsia="en-KE"/>
        </w:rPr>
        <w:t> VIX spikes above 60, cross-asset contagion forces liquidation of unrelated positions. AUD/JPY-type pairs can lose a full year of carry income in under a week.</w:t>
      </w:r>
    </w:p>
    <w:p w14:paraId="611B1A02" w14:textId="77777777" w:rsidR="0090012E" w:rsidRPr="00B84C9A" w:rsidRDefault="0090012E" w:rsidP="00B84C9A">
      <w:pPr>
        <w:numPr>
          <w:ilvl w:val="0"/>
          <w:numId w:val="11"/>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Verdana" w:eastAsia="Times New Roman" w:hAnsi="Verdana" w:cs="Cambri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Flash crash (January 2019 type):</w:t>
      </w:r>
      <w:r>
        <w:rPr>
          <w:rFonts w:ascii="Verdana" w:eastAsia="Times New Roman" w:hAnsi="Verdana" w:cs="Times New Roman"/>
          <w:color w:val="833C0B" w:themeColor="accent2" w:themeShade="80"/>
          <w:sz w:val="21"/>
          <w:szCs w:val="21"/>
          <w:lang w:eastAsia="en-KE"/>
        </w:rPr>
        <w:t> Thin holiday/Asian-session liquidity + retail stop clusters = extreme moves in minutes. Do not hold unhedged carry through known liquidity vacuums.</w:t>
      </w:r>
    </w:p>
    <w:p w14:paraId="67C1A11B" w14:textId="77777777" w:rsidR="0090012E" w:rsidRPr="00B84C9A" w:rsidRDefault="0090012E" w:rsidP="00B84C9A">
      <w:pPr>
        <w:numPr>
          <w:ilvl w:val="0"/>
          <w:numId w:val="11"/>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Verdana" w:eastAsia="Times New Roman" w:hAnsi="Verdana" w:cs="Cambri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Crowding blowup:</w:t>
      </w:r>
      <w:r>
        <w:rPr>
          <w:rFonts w:ascii="Verdana" w:eastAsia="Times New Roman" w:hAnsi="Verdana" w:cs="Times New Roman"/>
          <w:color w:val="833C0B" w:themeColor="accent2" w:themeShade="80"/>
          <w:sz w:val="21"/>
          <w:szCs w:val="21"/>
          <w:lang w:eastAsia="en-KE"/>
        </w:rPr>
        <w:t> When CFTC positioning is extreme (90th percentile), even minor catalysts trigger catastrophic forced unwinds.</w:t>
      </w:r>
    </w:p>
    <w:p w14:paraId="0A4E759C" w14:textId="77777777" w:rsidR="0090012E" w:rsidRPr="00B84C9A" w:rsidRDefault="0090012E" w:rsidP="00B84C9A">
      <w:pPr>
        <w:numPr>
          <w:ilvl w:val="0"/>
          <w:numId w:val="11"/>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Verdana" w:eastAsia="Times New Roman" w:hAnsi="Verdana" w:cs="Cambria"/>
          <w:color w:val="833C0B" w:themeColor="accent2" w:themeShade="80"/>
          <w:sz w:val="21"/>
          <w:szCs w:val="21"/>
          <w:lang w:eastAsia="en-KE"/>
        </w:rPr>
        <w:t> </w:t>
      </w:r>
      <w:r>
        <w:rPr>
          <w:rFonts w:ascii="Verdana" w:eastAsia="Times New Roman" w:hAnsi="Verdana" w:cs="Times New Roman"/>
          <w:b/>
          <w:bCs/>
          <w:color w:val="833C0B" w:themeColor="accent2" w:themeShade="80"/>
          <w:sz w:val="21"/>
          <w:szCs w:val="21"/>
          <w:bdr w:val="single" w:sz="2" w:space="0" w:color="E5E7EB" w:frame="1"/>
          <w:lang w:eastAsia="en-KE"/>
        </w:rPr>
        <w:t>Data unavailability:</w:t>
      </w:r>
      <w:r>
        <w:rPr>
          <w:rFonts w:ascii="Verdana" w:eastAsia="Times New Roman" w:hAnsi="Verdana" w:cs="Times New Roman"/>
          <w:color w:val="833C0B" w:themeColor="accent2" w:themeShade="80"/>
          <w:sz w:val="21"/>
          <w:szCs w:val="21"/>
          <w:lang w:eastAsia="en-KE"/>
        </w:rPr>
        <w:t> If VIX or credit spread data is unavailable (exchange outage, data delay), Gate 1 cannot be evaluated. Flatten or reduce carry exposure.</w:t>
      </w:r>
    </w:p>
    <w:p w14:paraId="7F028B41" w14:textId="77777777" w:rsidR="0090012E" w:rsidRPr="00B84C9A" w:rsidRDefault="005E6478" w:rsidP="00B84C9A">
      <w:pPr>
        <w:spacing w:before="686" w:after="686" w:line="360" w:lineRule="auto"/>
        <w:rPr>
          <w:rFonts w:ascii="Verdana" w:eastAsia="Times New Roman" w:hAnsi="Verdana" w:cs="Times New Roman"/>
          <w:color w:val="833C0B" w:themeColor="accent2" w:themeShade="80"/>
          <w:sz w:val="24"/>
          <w:szCs w:val="24"/>
          <w:lang w:eastAsia="en-KE"/>
        </w:rPr>
      </w:pPr>
      <w:r>
        <w:rPr>
          <w:rFonts w:ascii="Verdana" w:eastAsia="Times New Roman" w:hAnsi="Verdana" w:cs="Times New Roman"/>
          <w:color w:val="833C0B" w:themeColor="accent2" w:themeShade="80"/>
          <w:sz w:val="24"/>
          <w:szCs w:val="24"/>
          <w:lang w:eastAsia="en-KE"/>
        </w:rPr>
        <w:lastRenderedPageBreak/>
        <w:pict w14:anchorId="15A972CC">
          <v:rect id="_x0000_i1030" style="width:0;height:0" o:hralign="center" o:hrstd="t" o:hr="t" fillcolor="#a0a0a0" stroked="f"/>
        </w:pict>
      </w:r>
    </w:p>
    <w:p w14:paraId="1FA5358D"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192" w:line="360" w:lineRule="auto"/>
        <w:outlineLvl w:val="1"/>
        <w:rPr>
          <w:rFonts w:ascii="Verdana" w:eastAsia="Times New Roman" w:hAnsi="Verdana" w:cs="Times New Roman"/>
          <w:b/>
          <w:bCs/>
          <w:color w:val="833C0B" w:themeColor="accent2" w:themeShade="80"/>
          <w:spacing w:val="-6"/>
          <w:sz w:val="34"/>
          <w:szCs w:val="34"/>
          <w:lang w:eastAsia="en-KE"/>
        </w:rPr>
      </w:pPr>
      <w:r>
        <w:rPr>
          <w:rFonts w:ascii="Verdana" w:eastAsia="Times New Roman" w:hAnsi="Verdana" w:cs="Times New Roman"/>
          <w:b/>
          <w:bCs/>
          <w:color w:val="833C0B" w:themeColor="accent2" w:themeShade="80"/>
          <w:spacing w:val="-6"/>
          <w:sz w:val="34"/>
          <w:szCs w:val="34"/>
          <w:lang w:eastAsia="en-KE"/>
        </w:rPr>
        <w:t>Instrument Notes</w:t>
      </w:r>
    </w:p>
    <w:p w14:paraId="20041C4B"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Gold / Silver:</w:t>
      </w:r>
      <w:r>
        <w:rPr>
          <w:rFonts w:ascii="Verdana" w:eastAsia="Times New Roman" w:hAnsi="Verdana" w:cs="Times New Roman"/>
          <w:color w:val="833C0B" w:themeColor="accent2" w:themeShade="80"/>
          <w:sz w:val="21"/>
          <w:szCs w:val="21"/>
          <w:lang w:eastAsia="en-KE"/>
        </w:rPr>
        <w:t xml:space="preserve"> Real US rates (10Y TIPS yield) are the operative variable, not nominal. Falling real rates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bullish gold. Post-2022 caveat: central bank physical buying can sustain gold even when real rates rise </w:t>
      </w:r>
      <w:r>
        <w:rPr>
          <w:rFonts w:ascii="Verdana" w:eastAsia="Times New Roman" w:hAnsi="Verdana" w:cs="Verdana"/>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reduce conviction. Risk-off regime (Gate 1 fails)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bullish gold/silver (safe-haven inflows). Gold may sell off first in acute deleveraging before rallying — treat as confirmation of sustained risk-off, not a leading signal. Engine note: When gold is added to the Protocol Engine, implement real rate computation (10Y TIPS yield direction) per these rules.</w:t>
      </w:r>
    </w:p>
    <w:p w14:paraId="58BE3A51"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Oil:</w:t>
      </w:r>
      <w:r>
        <w:rPr>
          <w:rFonts w:ascii="Verdana" w:eastAsia="Times New Roman" w:hAnsi="Verdana" w:cs="Times New Roman"/>
          <w:color w:val="833C0B" w:themeColor="accent2" w:themeShade="80"/>
          <w:sz w:val="21"/>
          <w:szCs w:val="21"/>
          <w:lang w:eastAsia="en-KE"/>
        </w:rPr>
        <w:t xml:space="preserve"> Rate differentials are secondary — supply dynamics dominate. Post-shale, rising oil is now USD-positive. Risk-on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bullish oil (demand growth). Risk-off + VIX up + oil down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growth scare, carry-hostile. Risk-off + VIX up + oil up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geopolitical supply shock, still carry-hostile but different dynamics dominate.</w:t>
      </w:r>
    </w:p>
    <w:p w14:paraId="14D023CC"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before="274" w:after="274"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Indices:</w:t>
      </w:r>
      <w:r>
        <w:rPr>
          <w:rFonts w:ascii="Verdana" w:eastAsia="Times New Roman" w:hAnsi="Verdana" w:cs="Times New Roman"/>
          <w:color w:val="833C0B" w:themeColor="accent2" w:themeShade="80"/>
          <w:sz w:val="21"/>
          <w:szCs w:val="21"/>
          <w:lang w:eastAsia="en-KE"/>
        </w:rPr>
        <w:t> Small-caps respond most reliably to rate cuts. NAS100 is rate-sensitive but mega-cap narratives can override. Carry regime and equity regime correlate +0.60 to +0.80 in risk-on. Use equity weakness as early warning for carry positions — in August 2024, carry unwind directly caused equity selling via margin-call contagion. Classify as low-conviction secondary signal for Part 1.</w:t>
      </w:r>
    </w:p>
    <w:p w14:paraId="0FFA11F1" w14:textId="77777777" w:rsidR="0090012E" w:rsidRPr="00B84C9A" w:rsidRDefault="005E6478" w:rsidP="00B84C9A">
      <w:pPr>
        <w:spacing w:before="686" w:after="686" w:line="360" w:lineRule="auto"/>
        <w:rPr>
          <w:rFonts w:ascii="Verdana" w:eastAsia="Times New Roman" w:hAnsi="Verdana" w:cs="Times New Roman"/>
          <w:color w:val="833C0B" w:themeColor="accent2" w:themeShade="80"/>
          <w:sz w:val="24"/>
          <w:szCs w:val="24"/>
          <w:lang w:eastAsia="en-KE"/>
        </w:rPr>
      </w:pPr>
      <w:r>
        <w:rPr>
          <w:rFonts w:ascii="Verdana" w:eastAsia="Times New Roman" w:hAnsi="Verdana" w:cs="Times New Roman"/>
          <w:color w:val="833C0B" w:themeColor="accent2" w:themeShade="80"/>
          <w:sz w:val="24"/>
          <w:szCs w:val="24"/>
          <w:lang w:eastAsia="en-KE"/>
        </w:rPr>
        <w:pict w14:anchorId="20A5B1D6">
          <v:rect id="_x0000_i1031" style="width:0;height:0" o:hralign="center" o:hrstd="t" o:hr="t" fillcolor="#a0a0a0" stroked="f"/>
        </w:pict>
      </w:r>
    </w:p>
    <w:p w14:paraId="078F134F" w14:textId="77777777" w:rsidR="0090012E" w:rsidRPr="00B84C9A" w:rsidRDefault="0090012E" w:rsidP="00B84C9A">
      <w:pPr>
        <w:pBdr>
          <w:top w:val="single" w:sz="2" w:space="0" w:color="E5E7EB"/>
          <w:left w:val="single" w:sz="2" w:space="0" w:color="E5E7EB"/>
          <w:bottom w:val="single" w:sz="2" w:space="0" w:color="E5E7EB"/>
          <w:right w:val="single" w:sz="2" w:space="0" w:color="E5E7EB"/>
        </w:pBdr>
        <w:spacing w:after="192" w:line="360" w:lineRule="auto"/>
        <w:outlineLvl w:val="1"/>
        <w:rPr>
          <w:rFonts w:ascii="Verdana" w:eastAsia="Times New Roman" w:hAnsi="Verdana" w:cs="Times New Roman"/>
          <w:b/>
          <w:bCs/>
          <w:color w:val="833C0B" w:themeColor="accent2" w:themeShade="80"/>
          <w:spacing w:val="-6"/>
          <w:sz w:val="34"/>
          <w:szCs w:val="34"/>
          <w:lang w:eastAsia="en-KE"/>
        </w:rPr>
      </w:pPr>
      <w:r>
        <w:rPr>
          <w:rFonts w:ascii="Verdana" w:eastAsia="Times New Roman" w:hAnsi="Verdana" w:cs="Times New Roman"/>
          <w:b/>
          <w:bCs/>
          <w:color w:val="833C0B" w:themeColor="accent2" w:themeShade="80"/>
          <w:spacing w:val="-6"/>
          <w:sz w:val="34"/>
          <w:szCs w:val="34"/>
          <w:lang w:eastAsia="en-KE"/>
        </w:rPr>
        <w:t>Integration</w:t>
      </w:r>
    </w:p>
    <w:p w14:paraId="16E47F7D" w14:textId="77777777" w:rsidR="0090012E" w:rsidRPr="00B84C9A" w:rsidRDefault="0090012E" w:rsidP="00B84C9A">
      <w:pPr>
        <w:numPr>
          <w:ilvl w:val="0"/>
          <w:numId w:val="12"/>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Part 1 (Rate Differential)</w:t>
      </w:r>
      <w:r>
        <w:rPr>
          <w:rFonts w:ascii="Verdana" w:eastAsia="Times New Roman" w:hAnsi="Verdana" w:cs="Times New Roman"/>
          <w:color w:val="833C0B" w:themeColor="accent2" w:themeShade="80"/>
          <w:sz w:val="21"/>
          <w:szCs w:val="21"/>
          <w:lang w:eastAsia="en-KE"/>
        </w:rPr>
        <w:t> = directional permission filter for ALL Playbook technical entries. Only take setups in the direction the rate differential permits. When bias is neutral or suspended, either direction is allowed at reduced size.</w:t>
      </w:r>
    </w:p>
    <w:p w14:paraId="56FBA451" w14:textId="77777777" w:rsidR="0090012E" w:rsidRPr="00B84C9A" w:rsidRDefault="0090012E" w:rsidP="00B84C9A">
      <w:pPr>
        <w:numPr>
          <w:ilvl w:val="0"/>
          <w:numId w:val="12"/>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b/>
          <w:bCs/>
          <w:color w:val="833C0B" w:themeColor="accent2" w:themeShade="80"/>
          <w:sz w:val="21"/>
          <w:szCs w:val="21"/>
          <w:bdr w:val="single" w:sz="2" w:space="0" w:color="E5E7EB" w:frame="1"/>
          <w:lang w:eastAsia="en-KE"/>
        </w:rPr>
        <w:t>Part 2 (Carry Viability)</w:t>
      </w:r>
      <w:r>
        <w:rPr>
          <w:rFonts w:ascii="Verdana" w:eastAsia="Times New Roman" w:hAnsi="Verdana" w:cs="Times New Roman"/>
          <w:color w:val="833C0B" w:themeColor="accent2" w:themeShade="80"/>
          <w:sz w:val="21"/>
          <w:szCs w:val="21"/>
          <w:lang w:eastAsia="en-KE"/>
        </w:rPr>
        <w:t> = additional gate for carry-oriented positions only. All four gates must pass before entering. A trade can pass Part 1 and fail Part 2.</w:t>
      </w:r>
    </w:p>
    <w:p w14:paraId="0EDBA353" w14:textId="77777777" w:rsidR="0090012E" w:rsidRPr="00B84C9A" w:rsidRDefault="0090012E" w:rsidP="00B84C9A">
      <w:pPr>
        <w:numPr>
          <w:ilvl w:val="0"/>
          <w:numId w:val="12"/>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lastRenderedPageBreak/>
        <w:t xml:space="preserve">Both are Layer 1 in the macro stack, co-primary with Fiscal Policy Bias Model (Protocol 21). Hierarchy: Fiscal + Monetary (months)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Risk Sentiment (days</w:t>
      </w:r>
      <w:r>
        <w:rPr>
          <w:rFonts w:ascii="Verdana" w:eastAsia="Times New Roman" w:hAnsi="Verdana" w:cs="Verdana"/>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weeks) </w:t>
      </w:r>
      <w:r>
        <w:rPr>
          <w:rFonts w:ascii="Arial" w:eastAsia="Times New Roman" w:hAnsi="Arial" w:cs="Arial"/>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 xml:space="preserve"> Technical (hours</w:t>
      </w:r>
      <w:r>
        <w:rPr>
          <w:rFonts w:ascii="Verdana" w:eastAsia="Times New Roman" w:hAnsi="Verdana" w:cs="Verdana"/>
          <w:color w:val="833C0B" w:themeColor="accent2" w:themeShade="80"/>
          <w:sz w:val="21"/>
          <w:szCs w:val="21"/>
          <w:lang w:eastAsia="en-KE"/>
        </w:rPr>
        <w:t>–</w:t>
      </w:r>
      <w:r>
        <w:rPr>
          <w:rFonts w:ascii="Verdana" w:eastAsia="Times New Roman" w:hAnsi="Verdana" w:cs="Times New Roman"/>
          <w:color w:val="833C0B" w:themeColor="accent2" w:themeShade="80"/>
          <w:sz w:val="21"/>
          <w:szCs w:val="21"/>
          <w:lang w:eastAsia="en-KE"/>
        </w:rPr>
        <w:t>days).</w:t>
      </w:r>
    </w:p>
    <w:p w14:paraId="1B157036" w14:textId="77777777" w:rsidR="0090012E" w:rsidRPr="00B84C9A" w:rsidRDefault="0090012E" w:rsidP="00B84C9A">
      <w:pPr>
        <w:numPr>
          <w:ilvl w:val="0"/>
          <w:numId w:val="12"/>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Never enter a carry trade on bias alone without a defined Pipeline A technical trigger and stop level.</w:t>
      </w:r>
    </w:p>
    <w:p w14:paraId="207E7EEB" w14:textId="77777777" w:rsidR="0090012E" w:rsidRPr="00B84C9A" w:rsidRDefault="0090012E" w:rsidP="00B84C9A">
      <w:pPr>
        <w:numPr>
          <w:ilvl w:val="0"/>
          <w:numId w:val="12"/>
        </w:numPr>
        <w:pBdr>
          <w:top w:val="single" w:sz="2" w:space="0" w:color="E5E7EB"/>
          <w:left w:val="single" w:sz="2" w:space="0" w:color="E5E7EB"/>
          <w:bottom w:val="single" w:sz="2" w:space="0" w:color="E5E7EB"/>
          <w:right w:val="single" w:sz="2" w:space="0" w:color="E5E7EB"/>
        </w:pBdr>
        <w:spacing w:before="68" w:after="68" w:line="360" w:lineRule="auto"/>
        <w:rPr>
          <w:rFonts w:ascii="Verdana" w:eastAsia="Times New Roman" w:hAnsi="Verdana" w:cs="Times New Roman"/>
          <w:color w:val="833C0B" w:themeColor="accent2" w:themeShade="80"/>
          <w:sz w:val="21"/>
          <w:szCs w:val="21"/>
          <w:lang w:eastAsia="en-KE"/>
        </w:rPr>
      </w:pPr>
      <w:r>
        <w:rPr>
          <w:rFonts w:ascii="Verdana" w:eastAsia="Times New Roman" w:hAnsi="Verdana" w:cs="Times New Roman"/>
          <w:color w:val="833C0B" w:themeColor="accent2" w:themeShade="80"/>
          <w:sz w:val="21"/>
          <w:szCs w:val="21"/>
          <w:lang w:eastAsia="en-KE"/>
        </w:rPr>
        <w:t>Don't fight the rate cycle.</w:t>
      </w:r>
    </w:p>
    <w:p w14:paraId="0A7CAE89" w14:textId="77777777" w:rsidR="00E612A5" w:rsidRPr="00B84C9A" w:rsidRDefault="00E612A5" w:rsidP="00B84C9A">
      <w:pPr>
        <w:spacing w:line="360" w:lineRule="auto"/>
        <w:rPr>
          <w:rFonts w:ascii="Verdana" w:hAnsi="Verdana"/>
          <w:color w:val="833C0B" w:themeColor="accent2" w:themeShade="80"/>
        </w:rPr>
      </w:pPr>
    </w:p>
    <w:sectPr w:rsidR="00E612A5" w:rsidRPr="00B84C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20DA"/>
    <w:multiLevelType w:val="multilevel"/>
    <w:tmpl w:val="F6A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DA733E"/>
    <w:multiLevelType w:val="multilevel"/>
    <w:tmpl w:val="A71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53FA4"/>
    <w:multiLevelType w:val="multilevel"/>
    <w:tmpl w:val="5880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15418"/>
    <w:multiLevelType w:val="multilevel"/>
    <w:tmpl w:val="DB88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4F3968"/>
    <w:multiLevelType w:val="multilevel"/>
    <w:tmpl w:val="FE96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D71A66"/>
    <w:multiLevelType w:val="multilevel"/>
    <w:tmpl w:val="034E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D05E2D"/>
    <w:multiLevelType w:val="multilevel"/>
    <w:tmpl w:val="480C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3A6FF1"/>
    <w:multiLevelType w:val="multilevel"/>
    <w:tmpl w:val="9C8A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533A0"/>
    <w:multiLevelType w:val="multilevel"/>
    <w:tmpl w:val="58B4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0A0CCF"/>
    <w:multiLevelType w:val="multilevel"/>
    <w:tmpl w:val="01E4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B0464A"/>
    <w:multiLevelType w:val="multilevel"/>
    <w:tmpl w:val="AB26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9B3FF2"/>
    <w:multiLevelType w:val="multilevel"/>
    <w:tmpl w:val="E8F8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8"/>
  </w:num>
  <w:num w:numId="3">
    <w:abstractNumId w:val="9"/>
  </w:num>
  <w:num w:numId="4">
    <w:abstractNumId w:val="6"/>
  </w:num>
  <w:num w:numId="5">
    <w:abstractNumId w:val="3"/>
  </w:num>
  <w:num w:numId="6">
    <w:abstractNumId w:val="1"/>
  </w:num>
  <w:num w:numId="7">
    <w:abstractNumId w:val="0"/>
  </w:num>
  <w:num w:numId="8">
    <w:abstractNumId w:val="11"/>
  </w:num>
  <w:num w:numId="9">
    <w:abstractNumId w:val="4"/>
  </w:num>
  <w:num w:numId="10">
    <w:abstractNumId w:val="7"/>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13"/>
    <w:rsid w:val="00080D13"/>
    <w:rsid w:val="001E7CAF"/>
    <w:rsid w:val="004B0BD7"/>
    <w:rsid w:val="005E6478"/>
    <w:rsid w:val="0067374B"/>
    <w:rsid w:val="00692A80"/>
    <w:rsid w:val="0090012E"/>
    <w:rsid w:val="00B07702"/>
    <w:rsid w:val="00B84C9A"/>
    <w:rsid w:val="00CB3F82"/>
    <w:rsid w:val="00D87BB4"/>
    <w:rsid w:val="00E612A5"/>
    <w:rsid w:val="00F6329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0421D"/>
  <w15:chartTrackingRefBased/>
  <w15:docId w15:val="{EDF85184-8F59-48CD-ACC3-F3E0CB96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865175">
      <w:bodyDiv w:val="1"/>
      <w:marLeft w:val="0"/>
      <w:marRight w:val="0"/>
      <w:marTop w:val="0"/>
      <w:marBottom w:val="0"/>
      <w:divBdr>
        <w:top w:val="none" w:sz="0" w:space="0" w:color="auto"/>
        <w:left w:val="none" w:sz="0" w:space="0" w:color="auto"/>
        <w:bottom w:val="none" w:sz="0" w:space="0" w:color="auto"/>
        <w:right w:val="none" w:sz="0" w:space="0" w:color="auto"/>
      </w:divBdr>
      <w:divsChild>
        <w:div w:id="1184897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4858388">
      <w:bodyDiv w:val="1"/>
      <w:marLeft w:val="0"/>
      <w:marRight w:val="0"/>
      <w:marTop w:val="0"/>
      <w:marBottom w:val="0"/>
      <w:divBdr>
        <w:top w:val="none" w:sz="0" w:space="0" w:color="auto"/>
        <w:left w:val="none" w:sz="0" w:space="0" w:color="auto"/>
        <w:bottom w:val="none" w:sz="0" w:space="0" w:color="auto"/>
        <w:right w:val="none" w:sz="0" w:space="0" w:color="auto"/>
      </w:divBdr>
      <w:divsChild>
        <w:div w:id="2127235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10</Pages>
  <Words>1743</Words>
  <Characters>9940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Chege</dc:creator>
  <cp:keywords/>
  <dc:description/>
  <cp:lastModifiedBy>Edwin Chege</cp:lastModifiedBy>
  <cp:revision>5</cp:revision>
  <dcterms:created xsi:type="dcterms:W3CDTF">2026-02-28T22:07:00Z</dcterms:created>
  <dcterms:modified xsi:type="dcterms:W3CDTF">2026-04-17T06:40:00Z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c05c50b1-b6fb-4baa-8916-ed77793d15c9</vt:lpwstr>
  </property>
</Properties>
</file>