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5E772" w14:textId="77777777" w:rsidR="0001736D" w:rsidRPr="00A92EBC" w:rsidRDefault="0001736D" w:rsidP="00FD33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92" w:line="240" w:lineRule="auto"/>
        <w:outlineLvl w:val="0"/>
        <w:rPr>
          <w:rFonts w:eastAsia="Times New Roman" w:cs="Times New Roman"/>
          <w:b/>
          <w:bCs/>
          <w:color w:val="833C0B" w:themeColor="accent2" w:themeShade="80"/>
          <w:spacing w:val="-6"/>
          <w:kern w:val="36"/>
          <w:sz w:val="51"/>
          <w:szCs w:val="5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pacing w:val="-6"/>
          <w:kern w:val="36"/>
          <w:sz w:val="51"/>
          <w:szCs w:val="51"/>
          <w:lang w:eastAsia="en-KE"/>
        </w:rPr>
        <w:t>FISCAL POLICY BIAS MODEL</w:t>
      </w:r>
    </w:p>
    <w:p w14:paraId="36BCBDA2" w14:textId="77777777" w:rsidR="0001736D" w:rsidRPr="00A92EBC" w:rsidRDefault="0001736D" w:rsidP="00FD33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4" w:after="274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v2.0 | Source: BabyPips Lesson 13 — see lesson for fiscal policy theory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br/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Instruments: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All (Forex primary) |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Update: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Monthly + event-driven. Engine Requirement: FISCAL_BIAS dictionary entries must include an ‘updated’ date. Any entry older than 30 days is stale and triggers a dashboard warning.</w:t>
        <w:br/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Timescale: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Slow-moving (months) — position bias, not trade timing</w:t>
        <w:br/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Size per trade: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Risk Management Framework</w:t>
      </w:r>
    </w:p>
    <w:p w14:paraId="01C3B2B1" w14:textId="77777777" w:rsidR="0001736D" w:rsidRPr="00A92EBC" w:rsidRDefault="00851B2E" w:rsidP="00FD3327">
      <w:pPr>
        <w:spacing w:before="686" w:after="686" w:line="240" w:lineRule="auto"/>
        <w:rPr>
          <w:rFonts w:eastAsia="Times New Roman" w:cs="Times New Roman"/>
          <w:color w:val="833C0B" w:themeColor="accent2" w:themeShade="80"/>
          <w:sz w:val="24"/>
          <w:szCs w:val="24"/>
          <w:lang w:eastAsia="en-KE"/>
        </w:rPr>
      </w:pPr>
      <w:r>
        <w:rPr>
          <w:rFonts w:eastAsia="Times New Roman" w:cs="Times New Roman"/>
          <w:color w:val="833C0B" w:themeColor="accent2" w:themeShade="80"/>
          <w:sz w:val="24"/>
          <w:szCs w:val="24"/>
          <w:lang w:eastAsia="en-KE"/>
        </w:rPr>
        <w:pict w14:anchorId="6449ED47">
          <v:rect id="_x0000_i1081" style="width:0;height:0" o:hralign="center" o:hrstd="t" o:hr="t" fillcolor="#a0a0a0" stroked="f"/>
        </w:pict>
      </w:r>
    </w:p>
    <w:p w14:paraId="4BAAE4AD" w14:textId="77777777" w:rsidR="0001736D" w:rsidRPr="00A92EBC" w:rsidRDefault="0001736D" w:rsidP="00FD33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92" w:line="240" w:lineRule="auto"/>
        <w:outlineLvl w:val="1"/>
        <w:rPr>
          <w:rFonts w:eastAsia="Times New Roman" w:cs="Times New Roman"/>
          <w:b/>
          <w:bCs/>
          <w:color w:val="833C0B" w:themeColor="accent2" w:themeShade="80"/>
          <w:spacing w:val="-6"/>
          <w:sz w:val="34"/>
          <w:szCs w:val="34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pacing w:val="-6"/>
          <w:sz w:val="34"/>
          <w:szCs w:val="34"/>
          <w:lang w:eastAsia="en-KE"/>
        </w:rPr>
        <w:t>The Relationship</w:t>
      </w:r>
    </w:p>
    <w:p w14:paraId="7613996A" w14:textId="77777777" w:rsidR="0001736D" w:rsidRPr="00A92EBC" w:rsidRDefault="0001736D" w:rsidP="00FD33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74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Fiscal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credibility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— not policy direction — drives currency bias. The market's assessment of whether a government can sustain its debt trajectory determines whether expansion weakens or strengthens a currency. Two identical policies produce opposite currency outcomes depending on credibility context. The key sustainability metric is the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r-g differential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(real interest rate minus real growth rate): when r exceeds g, debt compounds faster than the economy grows, and credibility erodes regardless of the absolute debt level.</w:t>
      </w:r>
    </w:p>
    <w:p w14:paraId="68F15CCF" w14:textId="77777777" w:rsidR="0001736D" w:rsidRPr="00A92EBC" w:rsidRDefault="00851B2E" w:rsidP="00FD3327">
      <w:pPr>
        <w:spacing w:before="686" w:after="686" w:line="240" w:lineRule="auto"/>
        <w:rPr>
          <w:rFonts w:eastAsia="Times New Roman" w:cs="Times New Roman"/>
          <w:color w:val="833C0B" w:themeColor="accent2" w:themeShade="80"/>
          <w:sz w:val="24"/>
          <w:szCs w:val="24"/>
          <w:lang w:eastAsia="en-KE"/>
        </w:rPr>
      </w:pPr>
      <w:r>
        <w:rPr>
          <w:rFonts w:eastAsia="Times New Roman" w:cs="Times New Roman"/>
          <w:color w:val="833C0B" w:themeColor="accent2" w:themeShade="80"/>
          <w:sz w:val="24"/>
          <w:szCs w:val="24"/>
          <w:lang w:eastAsia="en-KE"/>
        </w:rPr>
        <w:pict w14:anchorId="0320A2D9">
          <v:rect id="_x0000_i1082" style="width:0;height:0" o:hralign="center" o:hrstd="t" o:hr="t" fillcolor="#a0a0a0" stroked="f"/>
        </w:pict>
      </w:r>
    </w:p>
    <w:p w14:paraId="0E826138" w14:textId="77777777" w:rsidR="0001736D" w:rsidRPr="00A92EBC" w:rsidRDefault="0001736D" w:rsidP="00FD33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92" w:line="240" w:lineRule="auto"/>
        <w:outlineLvl w:val="1"/>
        <w:rPr>
          <w:rFonts w:eastAsia="Times New Roman" w:cs="Times New Roman"/>
          <w:b/>
          <w:bCs/>
          <w:color w:val="833C0B" w:themeColor="accent2" w:themeShade="80"/>
          <w:spacing w:val="-6"/>
          <w:sz w:val="34"/>
          <w:szCs w:val="34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pacing w:val="-6"/>
          <w:sz w:val="34"/>
          <w:szCs w:val="34"/>
          <w:lang w:eastAsia="en-KE"/>
        </w:rPr>
        <w:t>Rules</w:t>
      </w:r>
    </w:p>
    <w:p w14:paraId="3AD86A06" w14:textId="77777777" w:rsidR="0001736D" w:rsidRPr="00A92EBC" w:rsidRDefault="0001736D" w:rsidP="00FD33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07" w:line="240" w:lineRule="auto"/>
        <w:outlineLvl w:val="2"/>
        <w:rPr>
          <w:rFonts w:eastAsia="Times New Roman" w:cs="Times New Roman"/>
          <w:b/>
          <w:bCs/>
          <w:color w:val="833C0B" w:themeColor="accent2" w:themeShade="80"/>
          <w:spacing w:val="-6"/>
          <w:sz w:val="31"/>
          <w:szCs w:val="3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pacing w:val="-6"/>
          <w:sz w:val="31"/>
          <w:szCs w:val="31"/>
          <w:lang w:eastAsia="en-KE"/>
        </w:rPr>
        <w:t>Primary</w:t>
      </w:r>
    </w:p>
    <w:p w14:paraId="1B68495D" w14:textId="77777777" w:rsidR="0001736D" w:rsidRPr="00A92EBC" w:rsidRDefault="0001736D" w:rsidP="00FD332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IF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unfunded fiscal expansion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AND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 debt trajectory worsening (r &gt; g or debt-to-GDP rising) </w:t>
      </w:r>
      <w:r>
        <w:rPr>
          <w:rFonts w:ascii="Arial" w:eastAsia="Times New Roman" w:hAnsi="Arial" w:cs="Arial"/>
          <w:color w:val="833C0B" w:themeColor="accent2" w:themeShade="80"/>
          <w:sz w:val="21"/>
          <w:szCs w:val="21"/>
          <w:lang w:eastAsia="en-KE"/>
        </w:rPr>
        <w:t>→</w:t>
      </w:r>
      <w:r>
        <w:rPr>
          <w:rFonts w:eastAsia="Times New Roman" w:cs="Verdan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BEARISH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domestic currency</w:t>
      </w:r>
    </w:p>
    <w:p w14:paraId="0AD33ED1" w14:textId="77777777" w:rsidR="0001736D" w:rsidRPr="00A92EBC" w:rsidRDefault="0001736D" w:rsidP="00FD332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IF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 structural reform enacted with quantified long-term savings </w:t>
      </w:r>
      <w:r>
        <w:rPr>
          <w:rFonts w:ascii="Arial" w:eastAsia="Times New Roman" w:hAnsi="Arial" w:cs="Arial"/>
          <w:color w:val="833C0B" w:themeColor="accent2" w:themeShade="80"/>
          <w:sz w:val="21"/>
          <w:szCs w:val="21"/>
          <w:lang w:eastAsia="en-KE"/>
        </w:rPr>
        <w:t>→</w:t>
      </w:r>
      <w:r>
        <w:rPr>
          <w:rFonts w:eastAsia="Times New Roman" w:cs="Verdan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BULLISH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domestic currency</w:t>
      </w:r>
    </w:p>
    <w:p w14:paraId="651D9D15" w14:textId="77777777" w:rsidR="0001736D" w:rsidRPr="00A92EBC" w:rsidRDefault="0001736D" w:rsidP="00FD332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IF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deficit narrowing or surplus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AND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 growth remains positive </w:t>
      </w:r>
      <w:r>
        <w:rPr>
          <w:rFonts w:ascii="Arial" w:eastAsia="Times New Roman" w:hAnsi="Arial" w:cs="Arial"/>
          <w:color w:val="833C0B" w:themeColor="accent2" w:themeShade="80"/>
          <w:sz w:val="21"/>
          <w:szCs w:val="21"/>
          <w:lang w:eastAsia="en-KE"/>
        </w:rPr>
        <w:t>→</w:t>
      </w:r>
      <w:r>
        <w:rPr>
          <w:rFonts w:eastAsia="Times New Roman" w:cs="Verdan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BULLISH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domestic currency</w:t>
      </w:r>
    </w:p>
    <w:p w14:paraId="3C202192" w14:textId="77777777" w:rsidR="0001736D" w:rsidRPr="00A92EBC" w:rsidRDefault="0001736D" w:rsidP="00FD3327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IF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 debt-to-GDP rising + bond yields rising (not growth-driven) + interest payments as % of revenue climbing </w:t>
      </w:r>
      <w:r>
        <w:rPr>
          <w:rFonts w:ascii="Arial" w:eastAsia="Times New Roman" w:hAnsi="Arial" w:cs="Arial"/>
          <w:color w:val="833C0B" w:themeColor="accent2" w:themeShade="80"/>
          <w:sz w:val="21"/>
          <w:szCs w:val="21"/>
          <w:lang w:eastAsia="en-KE"/>
        </w:rPr>
        <w:t>→</w:t>
      </w:r>
      <w:r>
        <w:rPr>
          <w:rFonts w:eastAsia="Times New Roman" w:cs="Verdan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BEARISH — DOOM LOOP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i/>
          <w:i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(see escalation below)</w:t>
      </w:r>
    </w:p>
    <w:p w14:paraId="37B4A9F1" w14:textId="77777777" w:rsidR="0001736D" w:rsidRPr="00A92EBC" w:rsidRDefault="0001736D" w:rsidP="00FD33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73" w:after="107" w:line="240" w:lineRule="auto"/>
        <w:outlineLvl w:val="2"/>
        <w:rPr>
          <w:rFonts w:eastAsia="Times New Roman" w:cs="Times New Roman"/>
          <w:b/>
          <w:bCs/>
          <w:color w:val="833C0B" w:themeColor="accent2" w:themeShade="80"/>
          <w:spacing w:val="-6"/>
          <w:sz w:val="31"/>
          <w:szCs w:val="3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pacing w:val="-6"/>
          <w:sz w:val="31"/>
          <w:szCs w:val="31"/>
          <w:lang w:eastAsia="en-KE"/>
        </w:rPr>
        <w:t>Fiscal-Monetary Interaction</w:t>
      </w:r>
    </w:p>
    <w:p w14:paraId="28E85C77" w14:textId="77777777" w:rsidR="0001736D" w:rsidRPr="00A92EBC" w:rsidRDefault="0001736D" w:rsidP="00FD332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IF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fiscal expansion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AND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 central bank hikes in response </w:t>
      </w:r>
      <w:r>
        <w:rPr>
          <w:rFonts w:ascii="Arial" w:eastAsia="Times New Roman" w:hAnsi="Arial" w:cs="Arial"/>
          <w:color w:val="833C0B" w:themeColor="accent2" w:themeShade="80"/>
          <w:sz w:val="21"/>
          <w:szCs w:val="21"/>
          <w:lang w:eastAsia="en-KE"/>
        </w:rPr>
        <w:t>→</w:t>
      </w:r>
      <w:r>
        <w:rPr>
          <w:rFonts w:eastAsia="Times New Roman" w:cs="Verdan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BULLISH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(rate differential dominates)</w:t>
      </w:r>
    </w:p>
    <w:p w14:paraId="753019DE" w14:textId="77777777" w:rsidR="0001736D" w:rsidRPr="00A92EBC" w:rsidRDefault="0001736D" w:rsidP="00FD332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IF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fiscal expansion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AND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 central bank cuts rates or refuses to hike despite inflation </w:t>
      </w:r>
      <w:r>
        <w:rPr>
          <w:rFonts w:ascii="Arial" w:eastAsia="Times New Roman" w:hAnsi="Arial" w:cs="Arial"/>
          <w:color w:val="833C0B" w:themeColor="accent2" w:themeShade="80"/>
          <w:sz w:val="21"/>
          <w:szCs w:val="21"/>
          <w:lang w:eastAsia="en-KE"/>
        </w:rPr>
        <w:t>→</w:t>
      </w:r>
      <w:r>
        <w:rPr>
          <w:rFonts w:eastAsia="Times New Roman" w:cs="Verdan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BEARISH (STRONG Intensity)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(no policy anchor — maximum capital flight risk)</w:t>
      </w:r>
    </w:p>
    <w:p w14:paraId="515D5548" w14:textId="77777777" w:rsidR="0001736D" w:rsidRPr="00A92EBC" w:rsidRDefault="0001736D" w:rsidP="00FD332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lastRenderedPageBreak/>
        <w:t>IF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 currency bloc announces joint fiscal action / shared debt issuance </w:t>
      </w:r>
      <w:r>
        <w:rPr>
          <w:rFonts w:ascii="Arial" w:eastAsia="Times New Roman" w:hAnsi="Arial" w:cs="Arial"/>
          <w:color w:val="833C0B" w:themeColor="accent2" w:themeShade="80"/>
          <w:sz w:val="21"/>
          <w:szCs w:val="21"/>
          <w:lang w:eastAsia="en-KE"/>
        </w:rPr>
        <w:t>→</w:t>
      </w:r>
      <w:r>
        <w:rPr>
          <w:rFonts w:eastAsia="Times New Roman" w:cs="Verdan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BULLISH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bloc currency</w:t>
      </w:r>
    </w:p>
    <w:p w14:paraId="049D79E9" w14:textId="77777777" w:rsidR="0001736D" w:rsidRPr="00A92EBC" w:rsidRDefault="0001736D" w:rsidP="00FD33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73" w:after="107" w:line="240" w:lineRule="auto"/>
        <w:outlineLvl w:val="2"/>
        <w:rPr>
          <w:rFonts w:eastAsia="Times New Roman" w:cs="Times New Roman"/>
          <w:b/>
          <w:bCs/>
          <w:color w:val="833C0B" w:themeColor="accent2" w:themeShade="80"/>
          <w:spacing w:val="-6"/>
          <w:sz w:val="31"/>
          <w:szCs w:val="3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pacing w:val="-6"/>
          <w:sz w:val="31"/>
          <w:szCs w:val="31"/>
          <w:lang w:eastAsia="en-KE"/>
        </w:rPr>
        <w:t>Context Exceptions</w:t>
      </w:r>
    </w:p>
    <w:p w14:paraId="285A8F73" w14:textId="77777777" w:rsidR="0001736D" w:rsidRPr="00A92EBC" w:rsidRDefault="0001736D" w:rsidP="00FD3327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IF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expansion is funded, growth-targeted, into idle-capacity economy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AND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 government has existing credibility </w:t>
      </w:r>
      <w:r>
        <w:rPr>
          <w:rFonts w:ascii="Arial" w:eastAsia="Times New Roman" w:hAnsi="Arial" w:cs="Arial"/>
          <w:color w:val="833C0B" w:themeColor="accent2" w:themeShade="80"/>
          <w:sz w:val="21"/>
          <w:szCs w:val="21"/>
          <w:lang w:eastAsia="en-KE"/>
        </w:rPr>
        <w:t>→</w:t>
      </w:r>
      <w:r>
        <w:rPr>
          <w:rFonts w:eastAsia="Times New Roman" w:cs="Verdan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BULLISH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 (growth optimism dominates) </w:t>
      </w:r>
      <w:r>
        <w:rPr>
          <w:rFonts w:ascii="Segoe UI Emoji" w:eastAsia="Times New Roman" w:hAnsi="Segoe UI Emoji" w:cs="Segoe UI Emoji"/>
          <w:color w:val="833C0B" w:themeColor="accent2" w:themeShade="80"/>
          <w:sz w:val="21"/>
          <w:szCs w:val="21"/>
          <w:lang w:eastAsia="en-KE"/>
        </w:rPr>
        <w:t>⚠️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 Decays as deficit concerns accumulate</w:t>
      </w:r>
    </w:p>
    <w:p w14:paraId="353E0446" w14:textId="77777777" w:rsidR="0001736D" w:rsidRPr="00A92EBC" w:rsidRDefault="0001736D" w:rsidP="00FD3327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IF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severe austerity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AND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economy already weak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AND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 unemployment rising </w:t>
      </w:r>
      <w:r>
        <w:rPr>
          <w:rFonts w:ascii="Arial" w:eastAsia="Times New Roman" w:hAnsi="Arial" w:cs="Arial"/>
          <w:color w:val="833C0B" w:themeColor="accent2" w:themeShade="80"/>
          <w:sz w:val="21"/>
          <w:szCs w:val="21"/>
          <w:lang w:eastAsia="en-KE"/>
        </w:rPr>
        <w:t>→</w:t>
      </w:r>
      <w:r>
        <w:rPr>
          <w:rFonts w:eastAsia="Times New Roman" w:cs="Verdan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BEARISH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(growth collapse overrides discipline)</w:t>
      </w:r>
    </w:p>
    <w:p w14:paraId="2736AE93" w14:textId="77777777" w:rsidR="0001736D" w:rsidRPr="00A92EBC" w:rsidRDefault="0001736D" w:rsidP="00FD3327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IF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 central bank runs extreme monetary policy (QE/YCC) that dwarfs fiscal signal </w:t>
      </w:r>
      <w:r>
        <w:rPr>
          <w:rFonts w:ascii="Arial" w:eastAsia="Times New Roman" w:hAnsi="Arial" w:cs="Arial"/>
          <w:color w:val="833C0B" w:themeColor="accent2" w:themeShade="80"/>
          <w:sz w:val="21"/>
          <w:szCs w:val="21"/>
          <w:lang w:eastAsia="en-KE"/>
        </w:rPr>
        <w:t>→</w:t>
      </w:r>
      <w:r>
        <w:rPr>
          <w:rFonts w:eastAsia="Times New Roman" w:cs="Verdan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NEUTRAL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for this model; defer to Interest Rate Bias Model</w:t>
      </w:r>
    </w:p>
    <w:p w14:paraId="77D3F944" w14:textId="77777777" w:rsidR="0001736D" w:rsidRPr="00A92EBC" w:rsidRDefault="0001736D" w:rsidP="00FD33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73" w:after="107" w:line="240" w:lineRule="auto"/>
        <w:outlineLvl w:val="2"/>
        <w:rPr>
          <w:rFonts w:eastAsia="Times New Roman" w:cs="Times New Roman"/>
          <w:b/>
          <w:bCs/>
          <w:color w:val="833C0B" w:themeColor="accent2" w:themeShade="80"/>
          <w:spacing w:val="-6"/>
          <w:sz w:val="31"/>
          <w:szCs w:val="3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pacing w:val="-6"/>
          <w:sz w:val="31"/>
          <w:szCs w:val="31"/>
          <w:lang w:eastAsia="en-KE"/>
        </w:rPr>
        <w:t>Doom Loop Escalation</w:t>
      </w:r>
    </w:p>
    <w:p w14:paraId="1A0EAAEE" w14:textId="77777777" w:rsidR="0001736D" w:rsidRPr="00A92EBC" w:rsidRDefault="0001736D" w:rsidP="00FD33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74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Stages 1–3 persist for years; Stages 4–5 collapse into days. Monitor for stage transitions:</w:t>
      </w:r>
    </w:p>
    <w:p w14:paraId="3FC01E70" w14:textId="77777777" w:rsidR="0001736D" w:rsidRPr="00A92EBC" w:rsidRDefault="0001736D" w:rsidP="00FD3327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Yield escalation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 — Bond spreads widen; auction demand weakens </w:t>
      </w:r>
      <w:r>
        <w:rPr>
          <w:rFonts w:ascii="Arial" w:eastAsia="Times New Roman" w:hAnsi="Arial" w:cs="Arial"/>
          <w:color w:val="833C0B" w:themeColor="accent2" w:themeShade="80"/>
          <w:sz w:val="21"/>
          <w:szCs w:val="21"/>
          <w:lang w:eastAsia="en-KE"/>
        </w:rPr>
        <w:t>→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 mildly bearish</w:t>
      </w:r>
    </w:p>
    <w:p w14:paraId="485C8E72" w14:textId="77777777" w:rsidR="0001736D" w:rsidRPr="00A92EBC" w:rsidRDefault="0001736D" w:rsidP="00FD3327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Cost feedback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 — Interest payments crowd out spending; rating agencies issue warnings </w:t>
      </w:r>
      <w:r>
        <w:rPr>
          <w:rFonts w:ascii="Arial" w:eastAsia="Times New Roman" w:hAnsi="Arial" w:cs="Arial"/>
          <w:color w:val="833C0B" w:themeColor="accent2" w:themeShade="80"/>
          <w:sz w:val="21"/>
          <w:szCs w:val="21"/>
          <w:lang w:eastAsia="en-KE"/>
        </w:rPr>
        <w:t>→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 moderately bearish</w:t>
      </w:r>
    </w:p>
    <w:p w14:paraId="21D18A80" w14:textId="77777777" w:rsidR="0001736D" w:rsidRPr="00A92EBC" w:rsidRDefault="0001736D" w:rsidP="00FD3327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Confidence break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 — Capital outflows accelerate; foreign debt ownership declines </w:t>
      </w:r>
      <w:r>
        <w:rPr>
          <w:rFonts w:ascii="Arial" w:eastAsia="Times New Roman" w:hAnsi="Arial" w:cs="Arial"/>
          <w:color w:val="833C0B" w:themeColor="accent2" w:themeShade="80"/>
          <w:sz w:val="21"/>
          <w:szCs w:val="21"/>
          <w:lang w:eastAsia="en-KE"/>
        </w:rPr>
        <w:t>→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 significantly bearish</w:t>
      </w:r>
    </w:p>
    <w:p w14:paraId="7EBB173B" w14:textId="77777777" w:rsidR="0001736D" w:rsidRPr="00A92EBC" w:rsidRDefault="0001736D" w:rsidP="00FD3327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Credit event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 — Rating downgrade triggers institutional selling cascades </w:t>
      </w:r>
      <w:r>
        <w:rPr>
          <w:rFonts w:ascii="Arial" w:eastAsia="Times New Roman" w:hAnsi="Arial" w:cs="Arial"/>
          <w:color w:val="833C0B" w:themeColor="accent2" w:themeShade="80"/>
          <w:sz w:val="21"/>
          <w:szCs w:val="21"/>
          <w:lang w:eastAsia="en-KE"/>
        </w:rPr>
        <w:t>→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 severely bearish</w:t>
      </w:r>
    </w:p>
    <w:p w14:paraId="6A771E41" w14:textId="77777777" w:rsidR="0001736D" w:rsidRPr="00A92EBC" w:rsidRDefault="0001736D" w:rsidP="00FD3327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Capital flight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 — Currency in free-fall; capital controls possible </w:t>
      </w:r>
      <w:r>
        <w:rPr>
          <w:rFonts w:ascii="Arial" w:eastAsia="Times New Roman" w:hAnsi="Arial" w:cs="Arial"/>
          <w:color w:val="833C0B" w:themeColor="accent2" w:themeShade="80"/>
          <w:sz w:val="21"/>
          <w:szCs w:val="21"/>
          <w:lang w:eastAsia="en-KE"/>
        </w:rPr>
        <w:t>→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 catastrophic</w:t>
      </w:r>
    </w:p>
    <w:p w14:paraId="76D08C23" w14:textId="77777777" w:rsidR="0001736D" w:rsidRPr="00A92EBC" w:rsidRDefault="0001736D" w:rsidP="00FD33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4" w:after="274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ascii="Segoe UI Emoji" w:eastAsia="Times New Roman" w:hAnsi="Segoe UI Emoji" w:cs="Segoe UI Emoji"/>
          <w:color w:val="833C0B" w:themeColor="accent2" w:themeShade="80"/>
          <w:sz w:val="21"/>
          <w:szCs w:val="21"/>
          <w:highlight w:val="green"/>
          <w:lang w:eastAsia="en-KE"/>
        </w:rPr>
        <w:t>⚠️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 Doom loop is</w:t>
      </w:r>
      <w:r>
        <w:rPr>
          <w:rFonts w:eastAsia="Times New Roman" w:cs="Cambri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active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when: debt trajectory worsening + yields rising (not growth-driven) + interest/revenue ratio climbing + no credible reversal plan. When yields are artificially suppressed (QE/YCC), fiscal stress transfers to the currency instead — read the signal through FX depreciation, not bonds (Japan pathway).</w:t>
      </w:r>
    </w:p>
    <w:p w14:paraId="399D0377" w14:textId="77777777" w:rsidR="0001736D" w:rsidRPr="00A92EBC" w:rsidRDefault="0001736D" w:rsidP="00FD33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73" w:after="107" w:line="240" w:lineRule="auto"/>
        <w:outlineLvl w:val="2"/>
        <w:rPr>
          <w:rFonts w:eastAsia="Times New Roman" w:cs="Times New Roman"/>
          <w:b/>
          <w:bCs/>
          <w:color w:val="833C0B" w:themeColor="accent2" w:themeShade="80"/>
          <w:spacing w:val="-6"/>
          <w:sz w:val="31"/>
          <w:szCs w:val="3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pacing w:val="-6"/>
          <w:sz w:val="31"/>
          <w:szCs w:val="31"/>
          <w:lang w:eastAsia="en-KE"/>
        </w:rPr>
        <w:t>Country-Tier Calibration</w:t>
      </w:r>
    </w:p>
    <w:p w14:paraId="579AC3AC" w14:textId="77777777" w:rsidR="0001736D" w:rsidRPr="00A92EBC" w:rsidRDefault="0001736D" w:rsidP="00FD3327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EM currencies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: Highest sensitivity. Fiscal credibility is frequently the dominant variable. Apply standard thresholds</w:t>
      </w:r>
    </w:p>
    <w:p w14:paraId="67517659" w14:textId="77777777" w:rsidR="0001736D" w:rsidRPr="00A92EBC" w:rsidRDefault="0001736D" w:rsidP="00FD3327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G10 non-reserve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: Moderate sensitivity. Fiscal signal is structural filter, not trade trigger. Reduce conviction one level from the same evidence.</w:t>
      </w:r>
    </w:p>
    <w:p w14:paraId="3B361E82" w14:textId="77777777" w:rsidR="0001736D" w:rsidRPr="00A92EBC" w:rsidRDefault="0001736D" w:rsidP="00FD3327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Reserve currencies (USD/EUR/JPY)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: Longest runway before stress manifests. Require stronger evidence before upgrading from NEUTRAL — but privilege is eroding. USD fell 7%+ in 2024–2025 despite wide rate differentials when fiscal trajectory was questioned</w:t>
      </w:r>
    </w:p>
    <w:p w14:paraId="263D2377" w14:textId="77777777" w:rsidR="0001736D" w:rsidRPr="00A92EBC" w:rsidRDefault="0001736D" w:rsidP="00FD33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4" w:after="274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Use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net debt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(gross debt minus sovereign assets), not headline gross debt. Japan at 250% gross but ~119% net is virtually identical to the US.</w:t>
      </w:r>
    </w:p>
    <w:p w14:paraId="12865597" w14:textId="77777777" w:rsidR="0001736D" w:rsidRPr="00A92EBC" w:rsidRDefault="0001736D" w:rsidP="00FD33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73" w:after="107" w:line="240" w:lineRule="auto"/>
        <w:outlineLvl w:val="2"/>
        <w:rPr>
          <w:rFonts w:eastAsia="Times New Roman" w:cs="Times New Roman"/>
          <w:b/>
          <w:bCs/>
          <w:color w:val="833C0B" w:themeColor="accent2" w:themeShade="80"/>
          <w:spacing w:val="-6"/>
          <w:sz w:val="31"/>
          <w:szCs w:val="3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pacing w:val="-6"/>
          <w:sz w:val="31"/>
          <w:szCs w:val="31"/>
          <w:lang w:eastAsia="en-KE"/>
        </w:rPr>
        <w:t>Moderators</w:t>
      </w:r>
    </w:p>
    <w:p w14:paraId="468E2EAA" w14:textId="77777777" w:rsidR="0001736D" w:rsidRPr="00A92EBC" w:rsidRDefault="0001736D" w:rsidP="00FD3327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ascii="Segoe UI Emoji" w:eastAsia="Times New Roman" w:hAnsi="Segoe UI Emoji" w:cs="Segoe UI Emoji"/>
          <w:color w:val="833C0B" w:themeColor="accent2" w:themeShade="80"/>
          <w:sz w:val="21"/>
          <w:szCs w:val="21"/>
          <w:lang w:eastAsia="en-KE"/>
        </w:rPr>
        <w:lastRenderedPageBreak/>
        <w:t>⚠️</w:t>
      </w:r>
      <w:r>
        <w:rPr>
          <w:rFonts w:eastAsia="Times New Roman" w:cs="Cambri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Domestic debt ownership &gt;80%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: Doom loop transmits through currency depreciation rather than bond crisis (Japan pathway). Raise bond-market doom loop threshold; monitor FX channel instead</w:t>
      </w:r>
    </w:p>
    <w:p w14:paraId="57A0FB0F" w14:textId="77777777" w:rsidR="0001736D" w:rsidRPr="00A92EBC" w:rsidRDefault="0001736D" w:rsidP="00FD3327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ascii="Segoe UI Emoji" w:eastAsia="Times New Roman" w:hAnsi="Segoe UI Emoji" w:cs="Segoe UI Emoji"/>
          <w:color w:val="833C0B" w:themeColor="accent2" w:themeShade="80"/>
          <w:sz w:val="21"/>
          <w:szCs w:val="21"/>
          <w:lang w:eastAsia="en-KE"/>
        </w:rPr>
        <w:t>⚠️</w:t>
      </w:r>
      <w:r>
        <w:rPr>
          <w:rFonts w:eastAsia="Times New Roman" w:cs="Cambri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Twin deficit active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(fiscal deficit + current account deficit, especially in EM under low real rates): Upgrade bearish conviction one level</w:t>
      </w:r>
    </w:p>
    <w:p w14:paraId="55CC5D58" w14:textId="77777777" w:rsidR="0001736D" w:rsidRPr="00A92EBC" w:rsidRDefault="0001736D" w:rsidP="00FD3327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ascii="Segoe UI Emoji" w:eastAsia="Times New Roman" w:hAnsi="Segoe UI Emoji" w:cs="Segoe UI Emoji"/>
          <w:color w:val="833C0B" w:themeColor="accent2" w:themeShade="80"/>
          <w:sz w:val="21"/>
          <w:szCs w:val="21"/>
          <w:lang w:eastAsia="en-KE"/>
        </w:rPr>
        <w:t>⚠️</w:t>
      </w:r>
      <w:r>
        <w:rPr>
          <w:rFonts w:eastAsia="Times New Roman" w:cs="Cambri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Global liquidity abundant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(low VIX, compressed spreads): Fiscal deterioration is masked. Bearish signal delayed until liquidity tightens — but the repricing is more violent when it comes</w:t>
      </w:r>
    </w:p>
    <w:p w14:paraId="1C25CC37" w14:textId="77777777" w:rsidR="0001736D" w:rsidRPr="00A92EBC" w:rsidRDefault="00851B2E" w:rsidP="00FD3327">
      <w:pPr>
        <w:spacing w:before="686" w:after="686" w:line="240" w:lineRule="auto"/>
        <w:rPr>
          <w:rFonts w:eastAsia="Times New Roman" w:cs="Times New Roman"/>
          <w:color w:val="833C0B" w:themeColor="accent2" w:themeShade="80"/>
          <w:sz w:val="24"/>
          <w:szCs w:val="24"/>
          <w:lang w:eastAsia="en-KE"/>
        </w:rPr>
      </w:pPr>
      <w:r>
        <w:rPr>
          <w:rFonts w:eastAsia="Times New Roman" w:cs="Times New Roman"/>
          <w:color w:val="833C0B" w:themeColor="accent2" w:themeShade="80"/>
          <w:sz w:val="24"/>
          <w:szCs w:val="24"/>
          <w:lang w:eastAsia="en-KE"/>
        </w:rPr>
        <w:pict w14:anchorId="16142172">
          <v:rect id="_x0000_i1083" style="width:0;height:0" o:hralign="center" o:hrstd="t" o:hr="t" fillcolor="#a0a0a0" stroked="f"/>
        </w:pict>
      </w:r>
    </w:p>
    <w:p w14:paraId="71182C40" w14:textId="77777777" w:rsidR="0001736D" w:rsidRPr="00A92EBC" w:rsidRDefault="0001736D" w:rsidP="00FD33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92" w:line="240" w:lineRule="auto"/>
        <w:outlineLvl w:val="1"/>
        <w:rPr>
          <w:rFonts w:eastAsia="Times New Roman" w:cs="Times New Roman"/>
          <w:b/>
          <w:bCs/>
          <w:color w:val="833C0B" w:themeColor="accent2" w:themeShade="80"/>
          <w:spacing w:val="-6"/>
          <w:sz w:val="34"/>
          <w:szCs w:val="34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pacing w:val="-6"/>
          <w:sz w:val="34"/>
          <w:szCs w:val="34"/>
          <w:lang w:eastAsia="en-KE"/>
        </w:rPr>
        <w:t>Data Sources</w:t>
      </w:r>
    </w:p>
    <w:p w14:paraId="47667E06" w14:textId="77777777" w:rsidR="0001736D" w:rsidRPr="00A92EBC" w:rsidRDefault="0001736D" w:rsidP="00FD33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74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Listed by signal priority. Items above the line are essential; below the line are confirmatory.</w:t>
      </w:r>
    </w:p>
    <w:p w14:paraId="41FD7FE0" w14:textId="77777777" w:rsidR="0001736D" w:rsidRPr="00A92EBC" w:rsidRDefault="0001736D" w:rsidP="00FD3327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Cross-currency basis spreads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: Bloomberg | Daily | Ultimate leading indicator of FX funding stress — widening precedes sharp currency moves by weeks</w:t>
      </w:r>
    </w:p>
    <w:p w14:paraId="351F8A18" w14:textId="77777777" w:rsidR="0001736D" w:rsidRPr="00A92EBC" w:rsidRDefault="0001736D" w:rsidP="00FD3327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r-g differential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(real rate minus real growth): IMF WEO, national statistics | Quarterly | Core sustainability metric — r &gt; g means debt is compounding</w:t>
      </w:r>
    </w:p>
    <w:p w14:paraId="16018CC5" w14:textId="77777777" w:rsidR="0001736D" w:rsidRPr="00A92EBC" w:rsidRDefault="0001736D" w:rsidP="00FD3327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Government bond yields + term premium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: TradingView, national treasury sites | Weekly check | Distinguish "good" rises (growth) from "bad" rises (fiscal panic) by cross-checking CDS</w:t>
      </w:r>
    </w:p>
    <w:p w14:paraId="54821112" w14:textId="77777777" w:rsidR="0001736D" w:rsidRPr="00A92EBC" w:rsidRDefault="0001736D" w:rsidP="00FD3327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Sovereign CDS spreads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: Bloomberg, WorldGovernmentBonds.com | Weekly | Real-time fiscal risk pricing; leads FX moves in EM by days–weeks</w:t>
      </w:r>
    </w:p>
    <w:p w14:paraId="1CD5BF86" w14:textId="77777777" w:rsidR="0001736D" w:rsidRPr="00A92EBC" w:rsidRDefault="0001736D" w:rsidP="00FD3327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Interest payments as % of tax revenue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: IMF Fiscal Monitor, national budget docs | Quarterly | Doom loop Stage 2 activation signal</w:t>
      </w:r>
    </w:p>
    <w:p w14:paraId="4F21454E" w14:textId="77777777" w:rsidR="0001736D" w:rsidRPr="00A92EBC" w:rsidRDefault="0001736D" w:rsidP="00FD3327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Net debt-to-GDP trajectory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: IMF Fiscal Monitor, World Bank | Quarterly | Direction and velocity matter more than level</w:t>
      </w:r>
    </w:p>
    <w:p w14:paraId="4A6CA211" w14:textId="77777777" w:rsidR="0001736D" w:rsidRPr="00A92EBC" w:rsidRDefault="0001736D" w:rsidP="00FD3327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Foreign vs. domestic debt ownership %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: National central bank data | Quarterly | Determines doom loop transmission path</w:t>
      </w:r>
    </w:p>
    <w:p w14:paraId="4492531F" w14:textId="77777777" w:rsidR="0001736D" w:rsidRPr="00A92EBC" w:rsidRDefault="0001736D" w:rsidP="00FD3327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Auction results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(bid-to-cover, dealer allocation): National treasury sites | Per auction | Demand failure = fiscal noise becomes signal</w:t>
      </w:r>
    </w:p>
    <w:p w14:paraId="3C8BAA26" w14:textId="77777777" w:rsidR="0001736D" w:rsidRPr="00A92EBC" w:rsidRDefault="00851B2E" w:rsidP="00FD3327">
      <w:pPr>
        <w:spacing w:before="686" w:after="686" w:line="240" w:lineRule="auto"/>
        <w:rPr>
          <w:rFonts w:eastAsia="Times New Roman" w:cs="Times New Roman"/>
          <w:color w:val="833C0B" w:themeColor="accent2" w:themeShade="80"/>
          <w:sz w:val="24"/>
          <w:szCs w:val="24"/>
          <w:lang w:eastAsia="en-KE"/>
        </w:rPr>
      </w:pPr>
      <w:r>
        <w:rPr>
          <w:rFonts w:eastAsia="Times New Roman" w:cs="Times New Roman"/>
          <w:color w:val="833C0B" w:themeColor="accent2" w:themeShade="80"/>
          <w:sz w:val="24"/>
          <w:szCs w:val="24"/>
          <w:lang w:eastAsia="en-KE"/>
        </w:rPr>
        <w:pict w14:anchorId="1D53D841">
          <v:rect id="_x0000_i1084" style="width:0;height:0" o:hralign="center" o:hrstd="t" o:hr="t" fillcolor="#a0a0a0" stroked="f"/>
        </w:pict>
      </w:r>
    </w:p>
    <w:p w14:paraId="550B3E22" w14:textId="77777777" w:rsidR="0001736D" w:rsidRPr="00A92EBC" w:rsidRDefault="0001736D" w:rsidP="00FD3327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Budget announcements / fiscal plans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: Government releases, Reuters/Bloomberg | Event-driven | Primary trigger for bias reassessment</w:t>
      </w:r>
    </w:p>
    <w:p w14:paraId="2B5B7F63" w14:textId="77777777" w:rsidR="0001736D" w:rsidRPr="00A92EBC" w:rsidRDefault="0001736D" w:rsidP="00FD3327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MOVE Index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: ICE BofA | Daily | Spike with rapid mean-reversion = noise. Sustained spike = systemic repricing</w:t>
      </w:r>
    </w:p>
    <w:p w14:paraId="7032B50E" w14:textId="77777777" w:rsidR="0001736D" w:rsidRPr="00A92EBC" w:rsidRDefault="0001736D" w:rsidP="00FD3327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lastRenderedPageBreak/>
        <w:t>Credit rating outlook changes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: S&amp;P, Moody's, Fitch | Event-driven | </w:t>
      </w:r>
      <w:r>
        <w:rPr>
          <w:rFonts w:ascii="Segoe UI Emoji" w:eastAsia="Times New Roman" w:hAnsi="Segoe UI Emoji" w:cs="Segoe UI Emoji"/>
          <w:color w:val="833C0B" w:themeColor="accent2" w:themeShade="80"/>
          <w:sz w:val="21"/>
          <w:szCs w:val="21"/>
          <w:lang w:eastAsia="en-KE"/>
        </w:rPr>
        <w:t>❌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 Lagging </w:t>
      </w:r>
      <w:r>
        <w:rPr>
          <w:rFonts w:eastAsia="Times New Roman" w:cs="Cambria"/>
          <w:color w:val="833C0B" w:themeColor="accent2" w:themeShade="80"/>
          <w:sz w:val="21"/>
          <w:szCs w:val="21"/>
          <w:lang w:eastAsia="en-KE"/>
        </w:rPr>
        <w:t>—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 confirms already-priced moves. Use for validation only, never for initial positioning</w:t>
      </w:r>
    </w:p>
    <w:p w14:paraId="6458CDD9" w14:textId="77777777" w:rsidR="0001736D" w:rsidRPr="00A92EBC" w:rsidRDefault="0001736D" w:rsidP="00FD33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4" w:after="274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Noise filter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: Classify fiscal announcements as noise until bond auction data shows genuine demand failure (declining bid-to-cover, rising forced dealer allocation). Only when the bond market structurally reprices should the fiscal signal be treated as actionable.</w:t>
      </w:r>
    </w:p>
    <w:p w14:paraId="3DDDF019" w14:textId="77777777" w:rsidR="0001736D" w:rsidRPr="00A92EBC" w:rsidRDefault="00851B2E" w:rsidP="00FD3327">
      <w:pPr>
        <w:spacing w:before="686" w:after="686" w:line="240" w:lineRule="auto"/>
        <w:rPr>
          <w:rFonts w:eastAsia="Times New Roman" w:cs="Times New Roman"/>
          <w:color w:val="833C0B" w:themeColor="accent2" w:themeShade="80"/>
          <w:sz w:val="24"/>
          <w:szCs w:val="24"/>
          <w:lang w:eastAsia="en-KE"/>
        </w:rPr>
      </w:pPr>
      <w:r>
        <w:rPr>
          <w:rFonts w:eastAsia="Times New Roman" w:cs="Times New Roman"/>
          <w:color w:val="833C0B" w:themeColor="accent2" w:themeShade="80"/>
          <w:sz w:val="24"/>
          <w:szCs w:val="24"/>
          <w:lang w:eastAsia="en-KE"/>
        </w:rPr>
        <w:pict w14:anchorId="349BE4D2">
          <v:rect id="_x0000_i1085" style="width:0;height:0" o:hralign="center" o:hrstd="t" o:hr="t" fillcolor="#a0a0a0" stroked="f"/>
        </w:pict>
      </w:r>
    </w:p>
    <w:p w14:paraId="0650C900" w14:textId="77777777" w:rsidR="0001736D" w:rsidRPr="00A92EBC" w:rsidRDefault="0001736D" w:rsidP="00FD33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92" w:line="240" w:lineRule="auto"/>
        <w:outlineLvl w:val="1"/>
        <w:rPr>
          <w:rFonts w:eastAsia="Times New Roman" w:cs="Times New Roman"/>
          <w:b/>
          <w:bCs/>
          <w:color w:val="833C0B" w:themeColor="accent2" w:themeShade="80"/>
          <w:spacing w:val="-6"/>
          <w:sz w:val="34"/>
          <w:szCs w:val="34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pacing w:val="-6"/>
          <w:sz w:val="34"/>
          <w:szCs w:val="34"/>
          <w:lang w:eastAsia="en-KE"/>
        </w:rPr>
        <w:t>Breakdowns</w:t>
      </w:r>
    </w:p>
    <w:p w14:paraId="643BB746" w14:textId="229D9A0B" w:rsidR="0001736D" w:rsidRPr="00A92EBC" w:rsidRDefault="0001736D" w:rsidP="00FD3327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ascii="Segoe UI Emoji" w:eastAsia="Times New Roman" w:hAnsi="Segoe UI Emoji" w:cs="Segoe UI Emoji"/>
          <w:color w:val="833C0B" w:themeColor="accent2" w:themeShade="80"/>
          <w:sz w:val="21"/>
          <w:szCs w:val="21"/>
          <w:lang w:eastAsia="en-KE"/>
        </w:rPr>
        <w:t>❌</w:t>
      </w:r>
      <w:r>
        <w:rPr>
          <w:rFonts w:eastAsia="Times New Roman" w:cs="Cambri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Monetary dominance regime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(QE/YCC active) — Fiscal signal is overwhelmed. Subordinate entirely to Interest Rate Bias Model. This was the default regime for</w:t>
      </w:r>
      <w:r>
        <w:rPr>
          <w:rFonts w:eastAsia="Times New Roman" w:cs="Times New Roman"/>
          <w:color w:val="833C0B" w:themeColor="accent2" w:themeShade="80"/>
          <w:sz w:val="21"/>
          <w:szCs w:val="21"/>
          <w:lang w:val="en-US" w:eastAsia="en-KE"/>
        </w:rPr>
        <w:t xml:space="preserve"> Developed Markets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 currencies 2008–2021</w:t>
      </w:r>
    </w:p>
    <w:p w14:paraId="61F2F40F" w14:textId="77777777" w:rsidR="0001736D" w:rsidRPr="00A92EBC" w:rsidRDefault="0001736D" w:rsidP="00FD3327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ascii="Segoe UI Emoji" w:eastAsia="Times New Roman" w:hAnsi="Segoe UI Emoji" w:cs="Segoe UI Emoji"/>
          <w:color w:val="833C0B" w:themeColor="accent2" w:themeShade="80"/>
          <w:sz w:val="21"/>
          <w:szCs w:val="21"/>
          <w:lang w:eastAsia="en-KE"/>
        </w:rPr>
        <w:t>❌</w:t>
      </w:r>
      <w:r>
        <w:rPr>
          <w:rFonts w:eastAsia="Times New Roman" w:cs="Cambri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Reserve currency privilege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— USD/EUR/JPY sustain fiscal configurations that destroy EM currencies. Privilege is real but compressing (USD -7% in 2025 despite rate advantage). Apply higher thresholds, not immunity</w:t>
      </w:r>
    </w:p>
    <w:p w14:paraId="4089D86A" w14:textId="77777777" w:rsidR="0001736D" w:rsidRPr="00A92EBC" w:rsidRDefault="0001736D" w:rsidP="00FD3327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ascii="Segoe UI Emoji" w:eastAsia="Times New Roman" w:hAnsi="Segoe UI Emoji" w:cs="Segoe UI Emoji"/>
          <w:color w:val="833C0B" w:themeColor="accent2" w:themeShade="80"/>
          <w:sz w:val="21"/>
          <w:szCs w:val="21"/>
          <w:lang w:eastAsia="en-KE"/>
        </w:rPr>
        <w:t>❌</w:t>
      </w:r>
      <w:r>
        <w:rPr>
          <w:rFonts w:eastAsia="Times New Roman" w:cs="Cambri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Extreme risk-off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— Safe-haven currencies appreciate regardless of fiscal position (USD/JPY/CHF during COVID, GFC). Defer to Risk Sentiment Model</w:t>
      </w:r>
    </w:p>
    <w:p w14:paraId="034022BE" w14:textId="77777777" w:rsidR="0001736D" w:rsidRPr="00A92EBC" w:rsidRDefault="0001736D" w:rsidP="00FD3327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ascii="Segoe UI Emoji" w:eastAsia="Times New Roman" w:hAnsi="Segoe UI Emoji" w:cs="Segoe UI Emoji"/>
          <w:color w:val="833C0B" w:themeColor="accent2" w:themeShade="80"/>
          <w:sz w:val="21"/>
          <w:szCs w:val="21"/>
          <w:lang w:eastAsia="en-KE"/>
        </w:rPr>
        <w:t>❌</w:t>
      </w:r>
      <w:r>
        <w:rPr>
          <w:rFonts w:eastAsia="Times New Roman" w:cs="Cambri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Global liquidity abundance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— Yield-chasing masks fiscal deterioration across all tiers. Model reactivates violently when liquidity tightens</w:t>
      </w:r>
    </w:p>
    <w:p w14:paraId="4E818A65" w14:textId="77777777" w:rsidR="0001736D" w:rsidRPr="00A92EBC" w:rsidRDefault="0001736D" w:rsidP="00FD3327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ascii="Segoe UI Emoji" w:eastAsia="Times New Roman" w:hAnsi="Segoe UI Emoji" w:cs="Segoe UI Emoji"/>
          <w:color w:val="833C0B" w:themeColor="accent2" w:themeShade="80"/>
          <w:sz w:val="21"/>
          <w:szCs w:val="21"/>
          <w:lang w:eastAsia="en-KE"/>
        </w:rPr>
        <w:t>❌</w:t>
      </w:r>
      <w:r>
        <w:rPr>
          <w:rFonts w:eastAsia="Times New Roman" w:cs="Cambri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Domestic ownership &gt;80% + yield suppression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— Traditional bond-market doom loop does not activate. Fiscal stress transmits through currency depreciation instead (Japan: yen fell more than TRY in real terms since COVID)</w:t>
      </w:r>
    </w:p>
    <w:p w14:paraId="5AA72773" w14:textId="77777777" w:rsidR="0001736D" w:rsidRPr="00A92EBC" w:rsidRDefault="0001736D" w:rsidP="00FD3327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ascii="Segoe UI Emoji" w:eastAsia="Times New Roman" w:hAnsi="Segoe UI Emoji" w:cs="Segoe UI Emoji"/>
          <w:color w:val="833C0B" w:themeColor="accent2" w:themeShade="80"/>
          <w:sz w:val="21"/>
          <w:szCs w:val="21"/>
          <w:lang w:eastAsia="en-KE"/>
        </w:rPr>
        <w:t>❌</w:t>
      </w:r>
      <w:r>
        <w:rPr>
          <w:rFonts w:eastAsia="Times New Roman" w:cs="Cambri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Policy reversal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— Model assumes implementation. UK 2022 mini-budget was reversed within weeks, neutralising the signal. Monitor for reversal risk on politically vulnerable announcements</w:t>
      </w:r>
    </w:p>
    <w:p w14:paraId="59A140B1" w14:textId="77777777" w:rsidR="0001736D" w:rsidRPr="00A92EBC" w:rsidRDefault="00851B2E" w:rsidP="00FD3327">
      <w:pPr>
        <w:spacing w:before="686" w:after="686" w:line="240" w:lineRule="auto"/>
        <w:rPr>
          <w:rFonts w:eastAsia="Times New Roman" w:cs="Times New Roman"/>
          <w:color w:val="833C0B" w:themeColor="accent2" w:themeShade="80"/>
          <w:sz w:val="24"/>
          <w:szCs w:val="24"/>
          <w:lang w:eastAsia="en-KE"/>
        </w:rPr>
      </w:pPr>
      <w:r>
        <w:rPr>
          <w:rFonts w:eastAsia="Times New Roman" w:cs="Times New Roman"/>
          <w:color w:val="833C0B" w:themeColor="accent2" w:themeShade="80"/>
          <w:sz w:val="24"/>
          <w:szCs w:val="24"/>
          <w:lang w:eastAsia="en-KE"/>
        </w:rPr>
        <w:pict w14:anchorId="5BA61066">
          <v:rect id="_x0000_i1086" style="width:0;height:0" o:hralign="center" o:hrstd="t" o:hr="t" fillcolor="#a0a0a0" stroked="f"/>
        </w:pict>
      </w:r>
    </w:p>
    <w:p w14:paraId="1A3B9EF2" w14:textId="77777777" w:rsidR="0001736D" w:rsidRPr="00A92EBC" w:rsidRDefault="0001736D" w:rsidP="00FD33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92" w:line="240" w:lineRule="auto"/>
        <w:outlineLvl w:val="1"/>
        <w:rPr>
          <w:rFonts w:eastAsia="Times New Roman" w:cs="Times New Roman"/>
          <w:b/>
          <w:bCs/>
          <w:color w:val="833C0B" w:themeColor="accent2" w:themeShade="80"/>
          <w:spacing w:val="-6"/>
          <w:sz w:val="34"/>
          <w:szCs w:val="34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pacing w:val="-6"/>
          <w:sz w:val="34"/>
          <w:szCs w:val="34"/>
          <w:lang w:eastAsia="en-KE"/>
        </w:rPr>
        <w:t>Instruments</w:t>
      </w:r>
    </w:p>
    <w:p w14:paraId="7C4D58D1" w14:textId="77777777" w:rsidR="0001736D" w:rsidRPr="00A92EBC" w:rsidRDefault="0001736D" w:rsidP="00FD33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74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Forex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(direct): All rules apply. For pairs, assess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relative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 fiscal credibility — deteriorating A vs. stable B </w:t>
      </w:r>
      <w:r>
        <w:rPr>
          <w:rFonts w:ascii="Arial" w:eastAsia="Times New Roman" w:hAnsi="Arial" w:cs="Arial"/>
          <w:color w:val="833C0B" w:themeColor="accent2" w:themeShade="80"/>
          <w:sz w:val="21"/>
          <w:szCs w:val="21"/>
          <w:lang w:eastAsia="en-KE"/>
        </w:rPr>
        <w:t>→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 bearish A/B. EM pairs carry strongest signal. G10 pairs require confirmation from other layers.</w:t>
      </w:r>
    </w:p>
    <w:p w14:paraId="3E553EE4" w14:textId="77777777" w:rsidR="0001736D" w:rsidRPr="00A92EBC" w:rsidRDefault="0001736D" w:rsidP="00FD33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4" w:after="274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Gold/Silver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 (safe-haven/debasement channel): Doom loop Stage 3+ in major economy </w:t>
      </w:r>
      <w:r>
        <w:rPr>
          <w:rFonts w:ascii="Arial" w:eastAsia="Times New Roman" w:hAnsi="Arial" w:cs="Arial"/>
          <w:color w:val="833C0B" w:themeColor="accent2" w:themeShade="80"/>
          <w:sz w:val="21"/>
          <w:szCs w:val="21"/>
          <w:lang w:eastAsia="en-KE"/>
        </w:rPr>
        <w:t>→</w:t>
      </w:r>
      <w:r>
        <w:rPr>
          <w:rFonts w:eastAsia="Times New Roman" w:cs="Verdan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bullish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. Fiscal expansion driving negative real rates </w:t>
      </w:r>
      <w:r>
        <w:rPr>
          <w:rFonts w:ascii="Arial" w:eastAsia="Times New Roman" w:hAnsi="Arial" w:cs="Arial"/>
          <w:color w:val="833C0B" w:themeColor="accent2" w:themeShade="80"/>
          <w:sz w:val="21"/>
          <w:szCs w:val="21"/>
          <w:lang w:eastAsia="en-KE"/>
        </w:rPr>
        <w:t>→</w:t>
      </w:r>
      <w:r>
        <w:rPr>
          <w:rFonts w:eastAsia="Times New Roman" w:cs="Verdan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bullish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. The "debasement trade" is an active institutional theme in 2025 — when multiple major economies show fiscal deterioration simultaneously </w:t>
      </w:r>
      <w:r>
        <w:rPr>
          <w:rFonts w:ascii="Arial" w:eastAsia="Times New Roman" w:hAnsi="Arial" w:cs="Arial"/>
          <w:color w:val="833C0B" w:themeColor="accent2" w:themeShade="80"/>
          <w:sz w:val="21"/>
          <w:szCs w:val="21"/>
          <w:lang w:eastAsia="en-KE"/>
        </w:rPr>
        <w:t>→</w:t>
      </w:r>
      <w:r>
        <w:rPr>
          <w:rFonts w:eastAsia="Times New Roman" w:cs="Verdan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strongly bullish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 gold. </w:t>
        <w:lastRenderedPageBreak/>
        <w:t>Turkish households accumulated $750B+ in gold as lira collapsed, confirming the retail debasement channel.</w:t>
      </w:r>
    </w:p>
    <w:p w14:paraId="675A7922" w14:textId="77777777" w:rsidR="0001736D" w:rsidRPr="00A92EBC" w:rsidRDefault="0001736D" w:rsidP="00FD33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4" w:after="274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Oil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 (USD denomination): US fiscal deterioration </w:t>
      </w:r>
      <w:r>
        <w:rPr>
          <w:rFonts w:ascii="Arial" w:eastAsia="Times New Roman" w:hAnsi="Arial" w:cs="Arial"/>
          <w:color w:val="833C0B" w:themeColor="accent2" w:themeShade="80"/>
          <w:sz w:val="21"/>
          <w:szCs w:val="21"/>
          <w:lang w:eastAsia="en-KE"/>
        </w:rPr>
        <w:t>→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 weaker USD </w:t>
      </w:r>
      <w:r>
        <w:rPr>
          <w:rFonts w:ascii="Arial" w:eastAsia="Times New Roman" w:hAnsi="Arial" w:cs="Arial"/>
          <w:color w:val="833C0B" w:themeColor="accent2" w:themeShade="80"/>
          <w:sz w:val="21"/>
          <w:szCs w:val="21"/>
          <w:lang w:eastAsia="en-KE"/>
        </w:rPr>
        <w:t>→</w:t>
      </w:r>
      <w:r>
        <w:rPr>
          <w:rFonts w:eastAsia="Times New Roman" w:cs="Verdan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bullish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 oil in USD terms (mechanical). Fiscal crisis in major consuming economy </w:t>
      </w:r>
      <w:r>
        <w:rPr>
          <w:rFonts w:ascii="Arial" w:eastAsia="Times New Roman" w:hAnsi="Arial" w:cs="Arial"/>
          <w:color w:val="833C0B" w:themeColor="accent2" w:themeShade="80"/>
          <w:sz w:val="21"/>
          <w:szCs w:val="21"/>
          <w:lang w:eastAsia="en-KE"/>
        </w:rPr>
        <w:t>→</w:t>
      </w:r>
      <w:r>
        <w:rPr>
          <w:rFonts w:eastAsia="Times New Roman" w:cs="Verdan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bearish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oil on demand destruction. For oil-exporting EMs, monitor the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fiscal breakeven oil price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— when crude drops below it (Gulf States average: ~$83/barrel), budget deficits force sovereign wealth liquidation and currency pressure.</w:t>
      </w:r>
    </w:p>
    <w:p w14:paraId="14E5F20F" w14:textId="77777777" w:rsidR="0001736D" w:rsidRPr="00A92EBC" w:rsidRDefault="0001736D" w:rsidP="00FD33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4" w:after="274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Indices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 (growth/discount rate channel): Credible fiscal stimulus </w:t>
      </w:r>
      <w:r>
        <w:rPr>
          <w:rFonts w:ascii="Arial" w:eastAsia="Times New Roman" w:hAnsi="Arial" w:cs="Arial"/>
          <w:color w:val="833C0B" w:themeColor="accent2" w:themeShade="80"/>
          <w:sz w:val="21"/>
          <w:szCs w:val="21"/>
          <w:lang w:eastAsia="en-KE"/>
        </w:rPr>
        <w:t>→</w:t>
      </w:r>
      <w:r>
        <w:rPr>
          <w:rFonts w:eastAsia="Times New Roman" w:cs="Verdan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bullish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 domestic index (earnings expectations rise). Unfunded expansion triggering yield spike </w:t>
      </w:r>
      <w:r>
        <w:rPr>
          <w:rFonts w:ascii="Arial" w:eastAsia="Times New Roman" w:hAnsi="Arial" w:cs="Arial"/>
          <w:color w:val="833C0B" w:themeColor="accent2" w:themeShade="80"/>
          <w:sz w:val="21"/>
          <w:szCs w:val="21"/>
          <w:lang w:eastAsia="en-KE"/>
        </w:rPr>
        <w:t>→</w:t>
      </w:r>
      <w:r>
        <w:rPr>
          <w:rFonts w:eastAsia="Times New Roman" w:cs="Verdan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bearish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 (discount rates compress valuations — a 100bp inflation surprise raises the equity risk premium by 30bp on day one, 70bp by day five). Fiscal-monetary conflict </w:t>
      </w:r>
      <w:r>
        <w:rPr>
          <w:rFonts w:ascii="Arial" w:eastAsia="Times New Roman" w:hAnsi="Arial" w:cs="Arial"/>
          <w:color w:val="833C0B" w:themeColor="accent2" w:themeShade="80"/>
          <w:sz w:val="21"/>
          <w:szCs w:val="21"/>
          <w:lang w:eastAsia="en-KE"/>
        </w:rPr>
        <w:t>→</w:t>
      </w:r>
      <w:r>
        <w:rPr>
          <w:rFonts w:eastAsia="Times New Roman" w:cs="Verdan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highly bearish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(capital flight hits bonds and equities simultaneously).</w:t>
      </w:r>
    </w:p>
    <w:p w14:paraId="5483E1B8" w14:textId="77777777" w:rsidR="0001736D" w:rsidRPr="00A92EBC" w:rsidRDefault="00851B2E" w:rsidP="00FD3327">
      <w:pPr>
        <w:spacing w:before="686" w:after="686" w:line="240" w:lineRule="auto"/>
        <w:rPr>
          <w:rFonts w:eastAsia="Times New Roman" w:cs="Times New Roman"/>
          <w:color w:val="833C0B" w:themeColor="accent2" w:themeShade="80"/>
          <w:sz w:val="24"/>
          <w:szCs w:val="24"/>
          <w:lang w:eastAsia="en-KE"/>
        </w:rPr>
      </w:pPr>
      <w:r>
        <w:rPr>
          <w:rFonts w:eastAsia="Times New Roman" w:cs="Times New Roman"/>
          <w:color w:val="833C0B" w:themeColor="accent2" w:themeShade="80"/>
          <w:sz w:val="24"/>
          <w:szCs w:val="24"/>
          <w:lang w:eastAsia="en-KE"/>
        </w:rPr>
        <w:pict w14:anchorId="0CCFF72B">
          <v:rect id="_x0000_i1087" style="width:0;height:0" o:hralign="center" o:hrstd="t" o:hr="t" fillcolor="#a0a0a0" stroked="f"/>
        </w:pict>
      </w:r>
    </w:p>
    <w:p w14:paraId="6277397E" w14:textId="77777777" w:rsidR="0001736D" w:rsidRPr="00A92EBC" w:rsidRDefault="0001736D" w:rsidP="00FD33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92" w:line="240" w:lineRule="auto"/>
        <w:outlineLvl w:val="1"/>
        <w:rPr>
          <w:rFonts w:eastAsia="Times New Roman" w:cs="Times New Roman"/>
          <w:b/>
          <w:bCs/>
          <w:color w:val="833C0B" w:themeColor="accent2" w:themeShade="80"/>
          <w:spacing w:val="-6"/>
          <w:sz w:val="34"/>
          <w:szCs w:val="34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pacing w:val="-6"/>
          <w:sz w:val="34"/>
          <w:szCs w:val="34"/>
          <w:lang w:eastAsia="en-KE"/>
        </w:rPr>
        <w:t>Integration</w:t>
      </w:r>
    </w:p>
    <w:p w14:paraId="12E574F6" w14:textId="77777777" w:rsidR="0001736D" w:rsidRPr="00A92EBC" w:rsidRDefault="0001736D" w:rsidP="00FD33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74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This model is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Layer 1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(co-primary with Interest Rate Bias Model) in a four-layer stack:</w:t>
      </w:r>
    </w:p>
    <w:p w14:paraId="07C4C136" w14:textId="77777777" w:rsidR="0001736D" w:rsidRPr="00A92EBC" w:rsidRDefault="0001736D" w:rsidP="00FD33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4" w:after="274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Fiscal + Monetary (months)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ascii="Arial" w:eastAsia="Times New Roman" w:hAnsi="Arial" w:cs="Arial"/>
          <w:color w:val="833C0B" w:themeColor="accent2" w:themeShade="80"/>
          <w:sz w:val="21"/>
          <w:szCs w:val="21"/>
          <w:lang w:eastAsia="en-KE"/>
        </w:rPr>
        <w:t>→</w:t>
      </w:r>
      <w:r>
        <w:rPr>
          <w:rFonts w:eastAsia="Times New Roman" w:cs="Verdan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Risk Sentiment (days–weeks)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ascii="Arial" w:eastAsia="Times New Roman" w:hAnsi="Arial" w:cs="Arial"/>
          <w:color w:val="833C0B" w:themeColor="accent2" w:themeShade="80"/>
          <w:sz w:val="21"/>
          <w:szCs w:val="21"/>
          <w:lang w:eastAsia="en-KE"/>
        </w:rPr>
        <w:t>→</w:t>
      </w:r>
      <w:r>
        <w:rPr>
          <w:rFonts w:eastAsia="Times New Roman" w:cs="Verdan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Technical (hours–days)</w:t>
      </w:r>
    </w:p>
    <w:p w14:paraId="2234DECE" w14:textId="77777777" w:rsidR="0001736D" w:rsidRPr="00A92EBC" w:rsidRDefault="0001736D" w:rsidP="00FD33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4" w:after="274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Update fiscal bias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monthly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from debt/budget data,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quarterly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from r-g and sustainability metrics, and </w:t>
      </w: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immediately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 on major announcements (budgets, reforms, rating changes, auction failures, elections). Interest rate differentials now explain only ~15% of currency moves (down from ~75% pre-2020) — fiscal sustainability has become a co-equal structural driver.</w:t>
      </w:r>
    </w:p>
    <w:p w14:paraId="6154426D" w14:textId="77777777" w:rsidR="0001736D" w:rsidRPr="00A92EBC" w:rsidRDefault="0001736D" w:rsidP="00FD33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4" w:after="274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>A fiscal BEARISH bias means: favour short setups from technical protocols; do not initiate longs unless a faster layer provides compelling override with documented rationale. A fiscal BULLISH bias means: favour long setups; fade short signals unless technically overwhelming. NEUTRAL means: no fiscal filter applied; defer to other layers.</w:t>
      </w:r>
    </w:p>
    <w:p w14:paraId="78853546" w14:textId="77777777" w:rsidR="0001736D" w:rsidRPr="00A92EBC" w:rsidRDefault="0001736D" w:rsidP="00FD33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274" w:after="274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Never let a faster layer override a slower layer's direction without explicit exception conditions.</w:t>
      </w:r>
    </w:p>
    <w:p w14:paraId="2959AAED" w14:textId="77777777" w:rsidR="0001736D" w:rsidRPr="00A92EBC" w:rsidRDefault="00851B2E" w:rsidP="00FD3327">
      <w:pPr>
        <w:spacing w:before="686" w:after="686" w:line="240" w:lineRule="auto"/>
        <w:rPr>
          <w:rFonts w:eastAsia="Times New Roman" w:cs="Times New Roman"/>
          <w:color w:val="833C0B" w:themeColor="accent2" w:themeShade="80"/>
          <w:sz w:val="24"/>
          <w:szCs w:val="24"/>
          <w:lang w:eastAsia="en-KE"/>
        </w:rPr>
      </w:pPr>
      <w:r>
        <w:rPr>
          <w:rFonts w:eastAsia="Times New Roman" w:cs="Times New Roman"/>
          <w:color w:val="833C0B" w:themeColor="accent2" w:themeShade="80"/>
          <w:sz w:val="24"/>
          <w:szCs w:val="24"/>
          <w:lang w:eastAsia="en-KE"/>
        </w:rPr>
        <w:pict w14:anchorId="2149E57E">
          <v:rect id="_x0000_i1088" style="width:0;height:0" o:hralign="center" o:hrstd="t" o:hr="t" fillcolor="#a0a0a0" stroked="f"/>
        </w:pict>
      </w:r>
    </w:p>
    <w:p w14:paraId="6FFF2089" w14:textId="77777777" w:rsidR="0001736D" w:rsidRPr="00A92EBC" w:rsidRDefault="0001736D" w:rsidP="00FD332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92" w:line="240" w:lineRule="auto"/>
        <w:outlineLvl w:val="1"/>
        <w:rPr>
          <w:rFonts w:eastAsia="Times New Roman" w:cs="Times New Roman"/>
          <w:b/>
          <w:bCs/>
          <w:color w:val="833C0B" w:themeColor="accent2" w:themeShade="80"/>
          <w:spacing w:val="-6"/>
          <w:sz w:val="34"/>
          <w:szCs w:val="34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pacing w:val="-6"/>
          <w:sz w:val="34"/>
          <w:szCs w:val="34"/>
          <w:lang w:eastAsia="en-KE"/>
        </w:rPr>
        <w:t>Historical Anchors</w:t>
      </w:r>
    </w:p>
    <w:p w14:paraId="29900AD4" w14:textId="77777777" w:rsidR="0001736D" w:rsidRPr="00A92EBC" w:rsidRDefault="0001736D" w:rsidP="00FD3327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lastRenderedPageBreak/>
        <w:t>UK Sep 2022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: £45B unfunded tax cuts </w:t>
      </w:r>
      <w:r>
        <w:rPr>
          <w:rFonts w:ascii="Arial" w:eastAsia="Times New Roman" w:hAnsi="Arial" w:cs="Arial"/>
          <w:color w:val="833C0B" w:themeColor="accent2" w:themeShade="80"/>
          <w:sz w:val="21"/>
          <w:szCs w:val="21"/>
          <w:lang w:eastAsia="en-KE"/>
        </w:rPr>
        <w:t>→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 GBP/USD to $1.03 (-7% in one week); bond auction demand collapsed; BoE forced emergency intervention. Fiscal credibility destroyed in days. </w:t>
      </w:r>
      <w:r>
        <w:rPr>
          <w:rFonts w:eastAsia="Times New Roman" w:cs="Times New Roman"/>
          <w:i/>
          <w:i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 xml:space="preserve">(Unfunded expansion </w:t>
      </w:r>
      <w:r>
        <w:rPr>
          <w:rFonts w:ascii="Arial" w:eastAsia="Times New Roman" w:hAnsi="Arial" w:cs="Arial"/>
          <w:i/>
          <w:i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→</w:t>
      </w:r>
      <w:r>
        <w:rPr>
          <w:rFonts w:eastAsia="Times New Roman" w:cs="Times New Roman"/>
          <w:i/>
          <w:i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 xml:space="preserve"> bearish)</w:t>
      </w:r>
    </w:p>
    <w:p w14:paraId="15FC1F97" w14:textId="77777777" w:rsidR="0001736D" w:rsidRPr="00A92EBC" w:rsidRDefault="0001736D" w:rsidP="00FD3327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Brazil 2019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: Pension reform saving $195B over 10 years </w:t>
      </w:r>
      <w:r>
        <w:rPr>
          <w:rFonts w:ascii="Arial" w:eastAsia="Times New Roman" w:hAnsi="Arial" w:cs="Arial"/>
          <w:color w:val="833C0B" w:themeColor="accent2" w:themeShade="80"/>
          <w:sz w:val="21"/>
          <w:szCs w:val="21"/>
          <w:lang w:eastAsia="en-KE"/>
        </w:rPr>
        <w:t>→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 BRL +8% over the year; enacted reform with quantified savings = maximum credibility signal.</w:t>
      </w:r>
      <w:r>
        <w:rPr>
          <w:rFonts w:eastAsia="Times New Roman" w:cs="Verdan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i/>
          <w:i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 xml:space="preserve">(Credible reform </w:t>
      </w:r>
      <w:r>
        <w:rPr>
          <w:rFonts w:ascii="Arial" w:eastAsia="Times New Roman" w:hAnsi="Arial" w:cs="Arial"/>
          <w:i/>
          <w:i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→</w:t>
      </w:r>
      <w:r>
        <w:rPr>
          <w:rFonts w:eastAsia="Times New Roman" w:cs="Times New Roman"/>
          <w:i/>
          <w:i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 xml:space="preserve"> bullish)</w:t>
      </w:r>
    </w:p>
    <w:p w14:paraId="04549CA8" w14:textId="77777777" w:rsidR="0001736D" w:rsidRPr="00A92EBC" w:rsidRDefault="0001736D" w:rsidP="00FD3327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8" w:after="68" w:line="240" w:lineRule="auto"/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</w:pPr>
      <w:r>
        <w:rPr>
          <w:rFonts w:eastAsia="Times New Roman" w:cs="Times New Roman"/>
          <w:b/>
          <w:b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Turkey 2021–2023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: Fiscal stimulus + rate cuts despite 80%+ inflation </w:t>
      </w:r>
      <w:r>
        <w:rPr>
          <w:rFonts w:ascii="Arial" w:eastAsia="Times New Roman" w:hAnsi="Arial" w:cs="Arial"/>
          <w:color w:val="833C0B" w:themeColor="accent2" w:themeShade="80"/>
          <w:sz w:val="21"/>
          <w:szCs w:val="21"/>
          <w:lang w:eastAsia="en-KE"/>
        </w:rPr>
        <w:t>→</w:t>
      </w:r>
      <w:r>
        <w:rPr>
          <w:rFonts w:eastAsia="Times New Roman" w:cs="Times New Roman"/>
          <w:color w:val="833C0B" w:themeColor="accent2" w:themeShade="80"/>
          <w:sz w:val="21"/>
          <w:szCs w:val="21"/>
          <w:lang w:eastAsia="en-KE"/>
        </w:rPr>
        <w:t xml:space="preserve"> TRY -80%; fiscal-monetary conflict is the most destructive combination.</w:t>
      </w:r>
      <w:r>
        <w:rPr>
          <w:rFonts w:eastAsia="Times New Roman" w:cs="Verdana"/>
          <w:color w:val="833C0B" w:themeColor="accent2" w:themeShade="80"/>
          <w:sz w:val="21"/>
          <w:szCs w:val="21"/>
          <w:lang w:eastAsia="en-KE"/>
        </w:rPr>
        <w:t> </w:t>
      </w:r>
      <w:r>
        <w:rPr>
          <w:rFonts w:eastAsia="Times New Roman" w:cs="Times New Roman"/>
          <w:i/>
          <w:i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 xml:space="preserve">(Policy conflict </w:t>
      </w:r>
      <w:r>
        <w:rPr>
          <w:rFonts w:ascii="Arial" w:eastAsia="Times New Roman" w:hAnsi="Arial" w:cs="Arial"/>
          <w:i/>
          <w:i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>→</w:t>
      </w:r>
      <w:r>
        <w:rPr>
          <w:rFonts w:eastAsia="Times New Roman" w:cs="Times New Roman"/>
          <w:i/>
          <w:iCs/>
          <w:color w:val="833C0B" w:themeColor="accent2" w:themeShade="80"/>
          <w:sz w:val="21"/>
          <w:szCs w:val="21"/>
          <w:bdr w:val="single" w:sz="2" w:space="0" w:color="E5E7EB" w:frame="1"/>
          <w:lang w:eastAsia="en-KE"/>
        </w:rPr>
        <w:t xml:space="preserve"> strongly bearish)</w:t>
      </w:r>
    </w:p>
    <w:p w14:paraId="0984CF81" w14:textId="77777777" w:rsidR="00D06B55" w:rsidRPr="00A92EBC" w:rsidRDefault="00D06B55" w:rsidP="00FD3327">
      <w:pPr>
        <w:rPr>
          <w:color w:val="833C0B" w:themeColor="accent2" w:themeShade="80"/>
        </w:rPr>
      </w:pPr>
    </w:p>
    <w:p w14:paraId="7D2333A6" w14:textId="77777777" w:rsidR="00641FD2" w:rsidRPr="00A92EBC" w:rsidRDefault="00641FD2" w:rsidP="00FD3327">
      <w:pPr>
        <w:rPr>
          <w:color w:val="833C0B" w:themeColor="accent2" w:themeShade="80"/>
        </w:rPr>
      </w:pPr>
    </w:p>
    <w:sectPr w:rsidR="00641FD2" w:rsidRPr="00A92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7D2B"/>
    <w:multiLevelType w:val="multilevel"/>
    <w:tmpl w:val="53C8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5D43F6"/>
    <w:multiLevelType w:val="multilevel"/>
    <w:tmpl w:val="E5DA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277CBE"/>
    <w:multiLevelType w:val="multilevel"/>
    <w:tmpl w:val="A1A0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537FE2"/>
    <w:multiLevelType w:val="multilevel"/>
    <w:tmpl w:val="A192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46051C"/>
    <w:multiLevelType w:val="multilevel"/>
    <w:tmpl w:val="662C0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785015"/>
    <w:multiLevelType w:val="multilevel"/>
    <w:tmpl w:val="13C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4440C74"/>
    <w:multiLevelType w:val="multilevel"/>
    <w:tmpl w:val="E262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62EF8"/>
    <w:multiLevelType w:val="multilevel"/>
    <w:tmpl w:val="1B0C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A632366"/>
    <w:multiLevelType w:val="multilevel"/>
    <w:tmpl w:val="6B32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1B15E17"/>
    <w:multiLevelType w:val="multilevel"/>
    <w:tmpl w:val="A9C4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6"/>
  </w:num>
  <w:num w:numId="7">
    <w:abstractNumId w:val="8"/>
  </w:num>
  <w:num w:numId="8">
    <w:abstractNumId w:val="1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36D"/>
    <w:rsid w:val="0001736D"/>
    <w:rsid w:val="003340A8"/>
    <w:rsid w:val="00641FD2"/>
    <w:rsid w:val="00851B2E"/>
    <w:rsid w:val="00A92EBC"/>
    <w:rsid w:val="00CA1305"/>
    <w:rsid w:val="00CB3F82"/>
    <w:rsid w:val="00D06B55"/>
    <w:rsid w:val="00D87BB4"/>
    <w:rsid w:val="00FD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2508B"/>
  <w15:chartTrackingRefBased/>
  <w15:docId w15:val="{98615A0F-57CB-4517-9776-89EEEBC7E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EBC"/>
    <w:rPr>
      <w:rFonts w:ascii="Verdana" w:hAnsi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8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6</Pages>
  <Words>1522</Words>
  <Characters>8680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Chege</dc:creator>
  <cp:keywords/>
  <dc:description/>
  <cp:lastModifiedBy>Edwin Chege</cp:lastModifiedBy>
  <cp:revision>4</cp:revision>
  <dcterms:created xsi:type="dcterms:W3CDTF">2026-03-01T06:18:00Z</dcterms:created>
  <dcterms:modified xsi:type="dcterms:W3CDTF">2026-04-17T09:34:00Z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5d9548e9-0d30-432f-a775-d8638a1d5c43</vt:lpwstr>
  </property>
</Properties>
</file>