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6087D" w14:textId="77777777" w:rsidR="00545E3C" w:rsidRPr="00545E3C" w:rsidRDefault="00545E3C" w:rsidP="00545E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0"/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</w:pPr>
      <w:r w:rsidRPr="00545E3C"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  <w:t>GLOBAL LIQUIDITY REGIME BIAS MODEL</w:t>
      </w:r>
    </w:p>
    <w:p w14:paraId="57108471" w14:textId="4A12E917" w:rsidR="00545E3C" w:rsidRPr="00545E3C" w:rsidRDefault="00545E3C" w:rsidP="00545E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45E3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v1.0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| </w:t>
      </w:r>
      <w:r w:rsidRPr="00545E3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Source: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Global Liquidity Regime Analysis lesson — see source for theory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545E3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Instruments: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Forex | Gold | Silver | Oil | Indices | </w:t>
      </w:r>
      <w:r w:rsidRPr="00545E3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Update: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Weekly (daily/real-time for stress indicators)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545E3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Role: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</w:t>
      </w:r>
      <w:r w:rsidR="003D48FE" w:rsidRPr="003D48F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Modifies directional conviction and sizing; does not override pair-specific directional signals.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. This is the macro backdrop for all other protocols.</w:t>
      </w:r>
    </w:p>
    <w:p w14:paraId="2FB5C582" w14:textId="77777777" w:rsidR="00545E3C" w:rsidRPr="00545E3C" w:rsidRDefault="0014695B" w:rsidP="00545E3C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07FED15A">
          <v:rect id="_x0000_i1025" style="width:0;height:0" o:hralign="center" o:hrstd="t" o:hr="t" fillcolor="#a0a0a0" stroked="f"/>
        </w:pict>
      </w:r>
    </w:p>
    <w:p w14:paraId="6B66D9A0" w14:textId="77777777" w:rsidR="00545E3C" w:rsidRPr="00545E3C" w:rsidRDefault="00545E3C" w:rsidP="00545E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545E3C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The Relationship</w:t>
      </w:r>
    </w:p>
    <w:p w14:paraId="63B7C150" w14:textId="77777777" w:rsidR="00545E3C" w:rsidRPr="00545E3C" w:rsidRDefault="00545E3C" w:rsidP="00545E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Liquidity is the tide — other protocols identify the best-positioned boats, the tide determines whether all boats rise or fall. Expanding liquidity lifts asset prices broadly; contracting liquidity creates structural headwinds regardless of fundamentals. This model adjusts how aggressively you trade, not what you trade.</w:t>
      </w:r>
    </w:p>
    <w:p w14:paraId="1B801360" w14:textId="77777777" w:rsidR="00545E3C" w:rsidRPr="00545E3C" w:rsidRDefault="0014695B" w:rsidP="00545E3C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55B22A35">
          <v:rect id="_x0000_i1026" style="width:0;height:0" o:hralign="center" o:hrstd="t" o:hr="t" fillcolor="#a0a0a0" stroked="f"/>
        </w:pict>
      </w:r>
    </w:p>
    <w:p w14:paraId="1B740047" w14:textId="77777777" w:rsidR="00545E3C" w:rsidRPr="00545E3C" w:rsidRDefault="00545E3C" w:rsidP="00545E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545E3C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Indicator Dashboard</w:t>
      </w:r>
    </w:p>
    <w:p w14:paraId="4C3B5253" w14:textId="77777777" w:rsidR="00545E3C" w:rsidRPr="00312D0F" w:rsidRDefault="00545E3C" w:rsidP="00545E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FFFFF" w:themeColor="background1"/>
          <w:sz w:val="21"/>
          <w:szCs w:val="21"/>
          <w:lang w:eastAsia="en-KE"/>
        </w:rPr>
      </w:pP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Score each core indicator: </w:t>
      </w:r>
      <w:r w:rsidRPr="00545E3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+1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(expansion-favoring), </w:t>
      </w:r>
      <w:r w:rsidRPr="00545E3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−1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(contraction-favoring), </w:t>
      </w:r>
      <w:r w:rsidRPr="00545E3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0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 (neutral). Sum for </w:t>
      </w:r>
      <w:r w:rsidRPr="00312D0F">
        <w:rPr>
          <w:rFonts w:ascii="Inter" w:eastAsia="Times New Roman" w:hAnsi="Inter" w:cs="Times New Roman"/>
          <w:color w:val="FFFFFF" w:themeColor="background1"/>
          <w:sz w:val="21"/>
          <w:szCs w:val="21"/>
          <w:lang w:eastAsia="en-KE"/>
        </w:rPr>
        <w:t>regime.</w:t>
      </w:r>
    </w:p>
    <w:p w14:paraId="1AD20C47" w14:textId="77777777" w:rsidR="00545E3C" w:rsidRPr="00312D0F" w:rsidRDefault="00545E3C" w:rsidP="00545E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 w:themeColor="background1"/>
          <w:spacing w:val="-6"/>
          <w:sz w:val="31"/>
          <w:szCs w:val="31"/>
          <w:lang w:eastAsia="en-KE"/>
        </w:rPr>
      </w:pPr>
      <w:r w:rsidRPr="00312D0F">
        <w:rPr>
          <w:rFonts w:ascii="system-ui" w:eastAsia="Times New Roman" w:hAnsi="system-ui" w:cs="Times New Roman"/>
          <w:b/>
          <w:bCs/>
          <w:color w:val="FFFFFF" w:themeColor="background1"/>
          <w:spacing w:val="-6"/>
          <w:sz w:val="31"/>
          <w:szCs w:val="31"/>
          <w:lang w:eastAsia="en-KE"/>
        </w:rPr>
        <w:t>Core Indicators (Scored)</w:t>
      </w:r>
    </w:p>
    <w:tbl>
      <w:tblPr>
        <w:tblW w:w="89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"/>
        <w:gridCol w:w="2382"/>
        <w:gridCol w:w="1451"/>
        <w:gridCol w:w="1569"/>
        <w:gridCol w:w="962"/>
        <w:gridCol w:w="1685"/>
        <w:gridCol w:w="625"/>
      </w:tblGrid>
      <w:tr w:rsidR="00312D0F" w:rsidRPr="00312D0F" w14:paraId="7B98E93A" w14:textId="77777777" w:rsidTr="000175E2">
        <w:trPr>
          <w:tblHeader/>
        </w:trPr>
        <w:tc>
          <w:tcPr>
            <w:tcW w:w="28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72DB645" w14:textId="77777777" w:rsidR="00545E3C" w:rsidRPr="00312D0F" w:rsidRDefault="00545E3C" w:rsidP="00545E3C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312D0F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#</w:t>
            </w:r>
          </w:p>
        </w:tc>
        <w:tc>
          <w:tcPr>
            <w:tcW w:w="238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FB62A90" w14:textId="77777777" w:rsidR="00545E3C" w:rsidRPr="00312D0F" w:rsidRDefault="00545E3C" w:rsidP="00545E3C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312D0F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A8BCAAE" w14:textId="77777777" w:rsidR="00545E3C" w:rsidRPr="00312D0F" w:rsidRDefault="00545E3C" w:rsidP="00545E3C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312D0F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+1 Expansion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FEB2C22" w14:textId="77777777" w:rsidR="00545E3C" w:rsidRPr="00312D0F" w:rsidRDefault="00545E3C" w:rsidP="00545E3C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312D0F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−1 Contraction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C08F3A8" w14:textId="77777777" w:rsidR="00545E3C" w:rsidRPr="00312D0F" w:rsidRDefault="00545E3C" w:rsidP="00545E3C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312D0F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0 Neutral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E787609" w14:textId="77777777" w:rsidR="00545E3C" w:rsidRPr="00312D0F" w:rsidRDefault="00545E3C" w:rsidP="00545E3C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312D0F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Source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E54F070" w14:textId="77777777" w:rsidR="00545E3C" w:rsidRPr="00312D0F" w:rsidRDefault="00545E3C" w:rsidP="00545E3C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312D0F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Type</w:t>
            </w:r>
          </w:p>
        </w:tc>
      </w:tr>
      <w:tr w:rsidR="00545E3C" w:rsidRPr="00545E3C" w14:paraId="75C0D038" w14:textId="77777777" w:rsidTr="000175E2">
        <w:tc>
          <w:tcPr>
            <w:tcW w:w="28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384F88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</w:t>
            </w:r>
          </w:p>
        </w:tc>
        <w:tc>
          <w:tcPr>
            <w:tcW w:w="238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4FD8D0" w14:textId="7917188C" w:rsidR="00545E3C" w:rsidRPr="00604BA0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 w:eastAsia="en-KE"/>
              </w:rPr>
            </w:pPr>
            <w:r w:rsidRPr="00312D0F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G5 Net Liquidity</w:t>
            </w:r>
            <w:r w:rsidRPr="00312D0F"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  <w:t> </w:t>
            </w: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 xml:space="preserve">3M annualized ROC </w:t>
            </w:r>
            <w:r w:rsidR="00604BA0" w:rsidRPr="00604BA0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:</w:t>
            </w: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 xml:space="preserve"> CB balance sheet minus TGA minus ON RRP; apply per G5 CB</w:t>
            </w:r>
            <w:r w:rsidR="00604BA0">
              <w:rPr>
                <w:rFonts w:ascii="Times New Roman" w:eastAsia="Times New Roman" w:hAnsi="Times New Roman" w:cs="Times New Roman"/>
                <w:sz w:val="21"/>
                <w:szCs w:val="21"/>
                <w:lang w:val="en-US" w:eastAsia="en-KE"/>
              </w:rPr>
              <w:t xml:space="preserve"> 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3D9D8B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&gt; +2.5%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7D1D29D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&lt; −1.5%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8980D8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−1.5% to +2.5%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208D9A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Fed H.4.1; ECB; BoJ; PBoC; BoE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E50A17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Trend</w:t>
            </w:r>
          </w:p>
        </w:tc>
      </w:tr>
      <w:tr w:rsidR="00545E3C" w:rsidRPr="00545E3C" w14:paraId="42D67E4A" w14:textId="77777777" w:rsidTr="000175E2">
        <w:tc>
          <w:tcPr>
            <w:tcW w:w="28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00F992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lastRenderedPageBreak/>
              <w:t>2</w:t>
            </w:r>
          </w:p>
        </w:tc>
        <w:tc>
          <w:tcPr>
            <w:tcW w:w="238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730805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AD72D2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G4 M2</w:t>
            </w:r>
            <w:r w:rsidRPr="00AD72D2"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  <w:t> </w:t>
            </w: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YoY (US+EZ+JP+CN, USD-converted)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076136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&gt; 4% (strong &gt;8%)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293F33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&lt; 2% (severe &lt;0%)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6A8350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2%–4%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3C4A3C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FRED M2SL; ECB SDW; BoJ; PBoC; or MacroMicro composite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F8C626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Trend</w:t>
            </w:r>
          </w:p>
        </w:tc>
      </w:tr>
      <w:tr w:rsidR="00545E3C" w:rsidRPr="00545E3C" w14:paraId="1CB974F0" w14:textId="77777777" w:rsidTr="000175E2">
        <w:tc>
          <w:tcPr>
            <w:tcW w:w="28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B7B899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3</w:t>
            </w:r>
          </w:p>
        </w:tc>
        <w:tc>
          <w:tcPr>
            <w:tcW w:w="238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3185A5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D063B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DXY</w:t>
            </w: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 vs 200-day SMA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E0F064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≥2% below OR 5+ closes below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732A49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≥2% above OR 5+ closes above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29F308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Within ±2% band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5D62CE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Any platform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A45E10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Hybrid</w:t>
            </w:r>
          </w:p>
        </w:tc>
      </w:tr>
    </w:tbl>
    <w:p w14:paraId="11C7EEF6" w14:textId="77777777" w:rsidR="00545E3C" w:rsidRPr="00545E3C" w:rsidRDefault="00545E3C" w:rsidP="00545E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D063B">
        <w:rPr>
          <w:rFonts w:ascii="Inter" w:eastAsia="Times New Roman" w:hAnsi="Inter" w:cs="Times New Roman"/>
          <w:b/>
          <w:bCs/>
          <w:color w:val="ED7D31" w:themeColor="accent2"/>
          <w:sz w:val="21"/>
          <w:szCs w:val="21"/>
          <w:bdr w:val="single" w:sz="2" w:space="0" w:color="E5E7EB" w:frame="1"/>
          <w:lang w:eastAsia="en-KE"/>
        </w:rPr>
        <w:t>Net Liquidity replaces raw balance sheet</w:t>
      </w:r>
      <w:r w:rsidRPr="00545E3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.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The ON RRP decline from ~$2.5T to near-zero (2022–2024) was one of the largest liquidity injections in history — it occurred during QT. Raw balance sheet alone would have misclassified that period.</w:t>
      </w:r>
    </w:p>
    <w:p w14:paraId="3E2709B1" w14:textId="77777777" w:rsidR="00545E3C" w:rsidRPr="00545E3C" w:rsidRDefault="00545E3C" w:rsidP="00545E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545E3C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Stress Indicators (Not scored — CRISIS detection and regime override)</w:t>
      </w:r>
    </w:p>
    <w:tbl>
      <w:tblPr>
        <w:tblW w:w="89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"/>
        <w:gridCol w:w="1970"/>
        <w:gridCol w:w="920"/>
        <w:gridCol w:w="3467"/>
        <w:gridCol w:w="1931"/>
        <w:gridCol w:w="532"/>
      </w:tblGrid>
      <w:tr w:rsidR="00545E3C" w:rsidRPr="00545E3C" w14:paraId="2D34E793" w14:textId="77777777" w:rsidTr="00545E3C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AAB9939" w14:textId="77777777" w:rsidR="00545E3C" w:rsidRPr="00545E3C" w:rsidRDefault="00545E3C" w:rsidP="00545E3C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#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4221C51" w14:textId="77777777" w:rsidR="00545E3C" w:rsidRPr="00CD063B" w:rsidRDefault="00545E3C" w:rsidP="00545E3C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CD063B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BA50599" w14:textId="77777777" w:rsidR="00545E3C" w:rsidRPr="00CD063B" w:rsidRDefault="00545E3C" w:rsidP="00545E3C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CD063B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Normal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4D4A4F0" w14:textId="77777777" w:rsidR="00545E3C" w:rsidRPr="00CD063B" w:rsidRDefault="00545E3C" w:rsidP="00545E3C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CD063B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Crisis Trigger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CC8434F" w14:textId="77777777" w:rsidR="00545E3C" w:rsidRPr="00CD063B" w:rsidRDefault="00545E3C" w:rsidP="00545E3C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CD063B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Source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9CB0969" w14:textId="77777777" w:rsidR="00545E3C" w:rsidRPr="00CD063B" w:rsidRDefault="00545E3C" w:rsidP="00545E3C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CD063B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Type</w:t>
            </w:r>
          </w:p>
        </w:tc>
      </w:tr>
      <w:tr w:rsidR="00545E3C" w:rsidRPr="00545E3C" w14:paraId="6969CD0C" w14:textId="77777777" w:rsidTr="00545E3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A4B17E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3A065E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631928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SOFR−IORB</w:t>
            </w:r>
            <w:r w:rsidRPr="00631928"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  <w:t> </w:t>
            </w: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spread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130495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SOFR ≤ IORB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A3D06D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&gt;25 bps single print, OR &gt;5 bps for 5+ non-quarter-end days, OR SRF usage &gt;$5B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7FA8A8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newyorkfed.org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7624AC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Stress</w:t>
            </w:r>
          </w:p>
        </w:tc>
      </w:tr>
      <w:tr w:rsidR="00545E3C" w:rsidRPr="00545E3C" w14:paraId="5B8F1E3E" w14:textId="77777777" w:rsidTr="00545E3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EC3B26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A5E8F5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B0059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TGA</w:t>
            </w: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 direction of change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EE6FC22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Stable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E638B61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Drawdown &gt;$100B/qtr (liq+); rebuild &gt;$200B/mo (liq−); move &gt;$50B/wk → reassess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E6D8B7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fiscaldata.treasury.gov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149B1B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Event</w:t>
            </w:r>
          </w:p>
        </w:tc>
      </w:tr>
    </w:tbl>
    <w:p w14:paraId="1C881CA6" w14:textId="77777777" w:rsidR="00545E3C" w:rsidRPr="00545E3C" w:rsidRDefault="00545E3C" w:rsidP="00545E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B0059E">
        <w:rPr>
          <w:rFonts w:ascii="Inter" w:eastAsia="Times New Roman" w:hAnsi="Inter" w:cs="Times New Roman"/>
          <w:b/>
          <w:bCs/>
          <w:color w:val="C45911" w:themeColor="accent2" w:themeShade="BF"/>
          <w:sz w:val="21"/>
          <w:szCs w:val="21"/>
          <w:bdr w:val="single" w:sz="2" w:space="0" w:color="E5E7EB" w:frame="1"/>
          <w:lang w:eastAsia="en-KE"/>
        </w:rPr>
        <w:t>Compound signal:</w:t>
      </w:r>
      <w:r w:rsidRPr="00B0059E">
        <w:rPr>
          <w:rFonts w:ascii="Inter" w:eastAsia="Times New Roman" w:hAnsi="Inter" w:cs="Times New Roman"/>
          <w:color w:val="C45911" w:themeColor="accent2" w:themeShade="BF"/>
          <w:sz w:val="21"/>
          <w:szCs w:val="21"/>
          <w:lang w:eastAsia="en-KE"/>
        </w:rPr>
        <w:t> 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TGA &gt;$800B AND SOFR above IORB simultaneously = double liquidity squeeze. Escalate monitoring.</w:t>
      </w:r>
    </w:p>
    <w:p w14:paraId="2CBFC3E7" w14:textId="77777777" w:rsidR="00545E3C" w:rsidRPr="00545E3C" w:rsidRDefault="0014695B" w:rsidP="00545E3C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2F0A1C28">
          <v:rect id="_x0000_i1027" style="width:0;height:0" o:hralign="center" o:hrstd="t" o:hr="t" fillcolor="#a0a0a0" stroked="f"/>
        </w:pict>
      </w:r>
    </w:p>
    <w:p w14:paraId="53CB4637" w14:textId="4E7A27F3" w:rsidR="00545E3C" w:rsidRDefault="00545E3C" w:rsidP="00545E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545E3C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lastRenderedPageBreak/>
        <w:t>Regime Rules</w:t>
      </w:r>
    </w:p>
    <w:p w14:paraId="3F5B6B85" w14:textId="661A8D5D" w:rsidR="003D48FE" w:rsidRPr="003D48FE" w:rsidRDefault="003D48FE" w:rsidP="00545E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color w:val="FFFFFF"/>
          <w:spacing w:val="-6"/>
          <w:sz w:val="24"/>
          <w:szCs w:val="24"/>
          <w:lang w:eastAsia="en-KE"/>
        </w:rPr>
      </w:pPr>
      <w:r w:rsidRPr="003D48FE">
        <w:rPr>
          <w:rFonts w:ascii="system-ui" w:eastAsia="Times New Roman" w:hAnsi="system-ui" w:cs="Times New Roman"/>
          <w:color w:val="FFFFFF"/>
          <w:spacing w:val="-6"/>
          <w:sz w:val="24"/>
          <w:szCs w:val="24"/>
          <w:lang w:eastAsia="en-KE"/>
        </w:rPr>
        <w:t>Note on Lean States: 'Lean' denotes a reduction in magnitude, not a change in directional alignment. A Lean Contraction opposes Risk-On trades exactly like a full Contraction, but applies softer scoring penalties and an 85-90% sizing cap rather than a severe reduction.</w:t>
      </w:r>
    </w:p>
    <w:tbl>
      <w:tblPr>
        <w:tblW w:w="89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5"/>
        <w:gridCol w:w="5350"/>
      </w:tblGrid>
      <w:tr w:rsidR="00545E3C" w:rsidRPr="00545E3C" w14:paraId="58979E46" w14:textId="77777777" w:rsidTr="00545E3C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85188E4" w14:textId="77777777" w:rsidR="00545E3C" w:rsidRPr="00631928" w:rsidRDefault="00545E3C" w:rsidP="00545E3C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631928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Score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AFD75A9" w14:textId="77777777" w:rsidR="00545E3C" w:rsidRPr="00631928" w:rsidRDefault="00545E3C" w:rsidP="00545E3C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631928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Regime</w:t>
            </w:r>
          </w:p>
        </w:tc>
      </w:tr>
      <w:tr w:rsidR="00545E3C" w:rsidRPr="00545E3C" w14:paraId="3E37C795" w14:textId="77777777" w:rsidTr="00545E3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9FC104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≥ +2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ABC8B46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B0059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EXPANSION</w:t>
            </w:r>
          </w:p>
        </w:tc>
      </w:tr>
      <w:tr w:rsidR="00545E3C" w:rsidRPr="00545E3C" w14:paraId="7D1BEB47" w14:textId="77777777" w:rsidTr="00545E3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F08015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+1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6EA77B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B0059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LEAN EXPANSION</w:t>
            </w:r>
            <w:r w:rsidRPr="00B0059E"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  <w:t> </w:t>
            </w: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— Expansion stance at reduced conviction</w:t>
            </w:r>
          </w:p>
        </w:tc>
      </w:tr>
      <w:tr w:rsidR="00545E3C" w:rsidRPr="00545E3C" w14:paraId="32A136EA" w14:textId="77777777" w:rsidTr="00545E3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1DFB94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492F1D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B0059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NEUTRAL</w:t>
            </w:r>
          </w:p>
        </w:tc>
      </w:tr>
      <w:tr w:rsidR="00545E3C" w:rsidRPr="00545E3C" w14:paraId="031E1F58" w14:textId="77777777" w:rsidTr="00545E3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C47E81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−1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36105A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B0059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LEAN CONTRACTION</w:t>
            </w:r>
            <w:r w:rsidRPr="00B0059E"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  <w:t> </w:t>
            </w: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— Contraction stance at reduced conviction</w:t>
            </w:r>
          </w:p>
        </w:tc>
      </w:tr>
      <w:tr w:rsidR="00545E3C" w:rsidRPr="00545E3C" w14:paraId="662C07D0" w14:textId="77777777" w:rsidTr="00545E3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A533DC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≤ −2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C33DF1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B0059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CONTRACTION</w:t>
            </w:r>
          </w:p>
        </w:tc>
      </w:tr>
      <w:tr w:rsidR="00545E3C" w:rsidRPr="00545E3C" w14:paraId="76FD3B0B" w14:textId="77777777" w:rsidTr="00545E3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34986B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SOFR crisis trigger + DXY spiking &gt;3%/10 days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C82340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B0059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CRISIS</w:t>
            </w: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 — overrides score</w:t>
            </w:r>
          </w:p>
        </w:tc>
      </w:tr>
    </w:tbl>
    <w:p w14:paraId="6BCF0B4E" w14:textId="77777777" w:rsidR="00545E3C" w:rsidRPr="00545E3C" w:rsidRDefault="00545E3C" w:rsidP="00545E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B0059E">
        <w:rPr>
          <w:rFonts w:ascii="Inter" w:eastAsia="Times New Roman" w:hAnsi="Inter" w:cs="Times New Roman"/>
          <w:b/>
          <w:bCs/>
          <w:color w:val="92D050"/>
          <w:sz w:val="21"/>
          <w:szCs w:val="21"/>
          <w:bdr w:val="single" w:sz="2" w:space="0" w:color="E5E7EB" w:frame="1"/>
          <w:lang w:eastAsia="en-KE"/>
        </w:rPr>
        <w:t>Hysteresis</w:t>
      </w:r>
      <w:r w:rsidRPr="00545E3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: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Require 2 consecutive weekly readings to confirm any regime change.</w:t>
      </w:r>
    </w:p>
    <w:p w14:paraId="00F1A859" w14:textId="77777777" w:rsidR="00545E3C" w:rsidRPr="00545E3C" w:rsidRDefault="0014695B" w:rsidP="00545E3C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31E6E966">
          <v:rect id="_x0000_i1028" style="width:0;height:0" o:hralign="center" o:hrstd="t" o:hr="t" fillcolor="#a0a0a0" stroked="f"/>
        </w:pict>
      </w:r>
    </w:p>
    <w:p w14:paraId="51D41F4B" w14:textId="77777777" w:rsidR="00545E3C" w:rsidRPr="00545E3C" w:rsidRDefault="00545E3C" w:rsidP="00545E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545E3C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EXPANSION (Score ≥ +2)</w:t>
      </w:r>
    </w:p>
    <w:p w14:paraId="51C16C98" w14:textId="77777777" w:rsidR="00545E3C" w:rsidRPr="00545E3C" w:rsidRDefault="00545E3C" w:rsidP="00545E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45E3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lastRenderedPageBreak/>
        <w:t>Stance: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Aggressive. Full sizing per Risk Management Framework.</w:t>
      </w:r>
    </w:p>
    <w:p w14:paraId="046FDB30" w14:textId="77777777" w:rsidR="00545E3C" w:rsidRPr="00545E3C" w:rsidRDefault="00545E3C" w:rsidP="00545E3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45E3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Forex: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Carry trades supported. AUD, NZD, CAD outperform. Reduce conviction on safe-haven longs.</w:t>
      </w:r>
    </w:p>
    <w:p w14:paraId="52387D5A" w14:textId="77777777" w:rsidR="00545E3C" w:rsidRPr="00545E3C" w:rsidRDefault="00545E3C" w:rsidP="00545E3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45E3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Gold: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If debasement/fiscal-driven expansion → gold stays bid (central bank buying, de-dollarization). If real-growth-driven → gold may lag equities.</w:t>
      </w:r>
    </w:p>
    <w:p w14:paraId="5C2DD962" w14:textId="77777777" w:rsidR="00545E3C" w:rsidRPr="00545E3C" w:rsidRDefault="00545E3C" w:rsidP="00545E3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45E3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Silver: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Outperforms gold. Overweight XAGUSD vs XAUUSD. Gold/silver ratio compresses toward 60–70.</w:t>
      </w:r>
    </w:p>
    <w:p w14:paraId="6E4FF5B2" w14:textId="77777777" w:rsidR="00D578ED" w:rsidRDefault="00545E3C" w:rsidP="002F13D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D578E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Oil:</w:t>
      </w:r>
      <w:r w:rsidRPr="00D578E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</w:t>
      </w:r>
      <w:r w:rsidR="00D578ED" w:rsidRPr="00D578E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Liquidity weight is deliberately set to ZERO. Geopolitics and OPEC+ physical supply mechanics permanently override paper liquidity signals for this asset.</w:t>
      </w:r>
    </w:p>
    <w:p w14:paraId="2D43C8B8" w14:textId="58090D4C" w:rsidR="00545E3C" w:rsidRPr="00D578ED" w:rsidRDefault="00545E3C" w:rsidP="002F13D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D578E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Indices:</w:t>
      </w:r>
      <w:r w:rsidRPr="00D578E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Highest conviction. NAS100 = highest liquidity-beta. US30 = lowest.</w:t>
      </w:r>
    </w:p>
    <w:p w14:paraId="1C78173C" w14:textId="77777777" w:rsidR="00545E3C" w:rsidRPr="00545E3C" w:rsidRDefault="0014695B" w:rsidP="00545E3C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0294B0BF">
          <v:rect id="_x0000_i1029" style="width:0;height:0" o:hralign="center" o:hrstd="t" o:hr="t" fillcolor="#a0a0a0" stroked="f"/>
        </w:pict>
      </w:r>
    </w:p>
    <w:p w14:paraId="46200AD9" w14:textId="77777777" w:rsidR="00545E3C" w:rsidRPr="00545E3C" w:rsidRDefault="00545E3C" w:rsidP="00545E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545E3C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CONTRACTION (Score ≤ −2)</w:t>
      </w:r>
    </w:p>
    <w:p w14:paraId="564D0D8F" w14:textId="77777777" w:rsidR="00545E3C" w:rsidRPr="00545E3C" w:rsidRDefault="00545E3C" w:rsidP="00545E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45E3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Stance: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Defensive. Reduce sizing to 50–75% per Risk Management Framework. At score −3, cap risk-on trades at 25%.</w:t>
      </w:r>
    </w:p>
    <w:p w14:paraId="650E01E9" w14:textId="77777777" w:rsidR="00545E3C" w:rsidRPr="00545E3C" w:rsidRDefault="00545E3C" w:rsidP="00545E3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45E3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Forex: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Carry faces structural headwinds — reduce or exit. USD, CHF supported. JPY safe-haven unreliable when BoJ policy diverges from G4.</w:t>
      </w:r>
    </w:p>
    <w:p w14:paraId="656C351D" w14:textId="77777777" w:rsidR="00545E3C" w:rsidRPr="00545E3C" w:rsidRDefault="00545E3C" w:rsidP="00545E3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45E3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Gold: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Bullish (debasement thesis). Brief initial vulnerability if real yields surge, then outperforms. </w:t>
      </w:r>
      <w:r w:rsidRPr="00545E3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Gold ATH during Contraction = leading signal of coming regime transition.</w:t>
      </w:r>
    </w:p>
    <w:p w14:paraId="033E81D7" w14:textId="77777777" w:rsidR="00545E3C" w:rsidRPr="00545E3C" w:rsidRDefault="00545E3C" w:rsidP="00545E3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45E3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Silver: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Underperforms gold. Size at 50–70% of gold allocation. Ratio expands toward 80–100.</w:t>
      </w:r>
    </w:p>
    <w:p w14:paraId="1007C297" w14:textId="0B6AECFC" w:rsidR="00545E3C" w:rsidRPr="00545E3C" w:rsidRDefault="00545E3C" w:rsidP="00545E3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45E3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Oil: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</w:t>
      </w:r>
      <w:r w:rsidR="00D578ED" w:rsidRPr="00D578E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Liquidity weight is deliberately set to ZERO. Geopolitics and OPEC+ physical supply mechanics permanently override paper liquidity signals for this asset.</w:t>
      </w:r>
    </w:p>
    <w:p w14:paraId="14C0D827" w14:textId="77777777" w:rsidR="00545E3C" w:rsidRPr="00545E3C" w:rsidRDefault="00545E3C" w:rsidP="00545E3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45E3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Indices: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Structural headwinds. Reduce longs. US30 relatively defensive. NAS100 most vulnerable.</w:t>
      </w:r>
    </w:p>
    <w:p w14:paraId="45310A9D" w14:textId="77777777" w:rsidR="00545E3C" w:rsidRPr="00545E3C" w:rsidRDefault="0014695B" w:rsidP="00545E3C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1D4D35D4">
          <v:rect id="_x0000_i1030" style="width:0;height:0" o:hralign="center" o:hrstd="t" o:hr="t" fillcolor="#a0a0a0" stroked="f"/>
        </w:pict>
      </w:r>
    </w:p>
    <w:p w14:paraId="0570F697" w14:textId="77777777" w:rsidR="00545E3C" w:rsidRPr="00545E3C" w:rsidRDefault="00545E3C" w:rsidP="00545E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545E3C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NEUTRAL (Score 0)</w:t>
      </w:r>
    </w:p>
    <w:p w14:paraId="59B0B241" w14:textId="77777777" w:rsidR="00545E3C" w:rsidRPr="00545E3C" w:rsidRDefault="00545E3C" w:rsidP="00545E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45E3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Stance: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No adjustment from this model. Defer to rate differentials, risk sentiment, fiscal analysis. Standard sizing.</w:t>
      </w:r>
    </w:p>
    <w:p w14:paraId="6AB358AE" w14:textId="77777777" w:rsidR="00545E3C" w:rsidRPr="00545E3C" w:rsidRDefault="0014695B" w:rsidP="00545E3C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3616C077">
          <v:rect id="_x0000_i1031" style="width:0;height:0" o:hralign="center" o:hrstd="t" o:hr="t" fillcolor="#a0a0a0" stroked="f"/>
        </w:pict>
      </w:r>
    </w:p>
    <w:p w14:paraId="7D5DE8B8" w14:textId="77777777" w:rsidR="00545E3C" w:rsidRPr="00545E3C" w:rsidRDefault="00545E3C" w:rsidP="00545E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545E3C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CRISIS (SOFR trigger + DXY spike — overrides score)</w:t>
      </w:r>
    </w:p>
    <w:p w14:paraId="16B5CF0F" w14:textId="641A2068" w:rsidR="00545E3C" w:rsidRPr="00545E3C" w:rsidRDefault="0014695B" w:rsidP="00545E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val="en-US" w:eastAsia="en-KE"/>
        </w:rPr>
        <w:lastRenderedPageBreak/>
        <w:t xml:space="preserve">CRISIS </w:t>
      </w:r>
      <w:r w:rsidR="00545E3C" w:rsidRPr="00545E3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Phase 1 — Dash for Cash</w:t>
      </w:r>
      <w:r w:rsidR="00545E3C"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(intervention not yet confirmed):</w:t>
      </w:r>
    </w:p>
    <w:p w14:paraId="57D541CC" w14:textId="77777777" w:rsidR="00545E3C" w:rsidRPr="00545E3C" w:rsidRDefault="00545E3C" w:rsidP="00545E3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USD strongly bid. Exit carry. Gold/silver sell initially (silver harder). Oil collapses on demand destruction. Indices sharply down. Maximum caution.</w:t>
      </w:r>
    </w:p>
    <w:p w14:paraId="2B4A16A9" w14:textId="5EE78752" w:rsidR="00545E3C" w:rsidRPr="00545E3C" w:rsidRDefault="0014695B" w:rsidP="00545E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val="en-US" w:eastAsia="en-KE"/>
        </w:rPr>
        <w:t xml:space="preserve">CRISIS </w:t>
      </w:r>
      <w:r w:rsidR="00545E3C" w:rsidRPr="00545E3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Phase 2 — Intervention Confirmed</w:t>
      </w:r>
      <w:r w:rsidR="00545E3C"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(emergency facility announced AND first operation conducted AND SOFR normalizing):</w:t>
      </w:r>
    </w:p>
    <w:p w14:paraId="54542C48" w14:textId="77777777" w:rsidR="00545E3C" w:rsidRPr="00545E3C" w:rsidRDefault="00545E3C" w:rsidP="00545E3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Most powerful buying opportunity across risk assets. Carry recovery begins. Gold/silver bullish (silver = highest-beta recovery play). NAS100 for max leverage. Maximum aggression.</w:t>
      </w:r>
    </w:p>
    <w:p w14:paraId="3C33ACA9" w14:textId="77777777" w:rsidR="00545E3C" w:rsidRPr="00545E3C" w:rsidRDefault="00545E3C" w:rsidP="00545E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43" w:after="137" w:line="240" w:lineRule="auto"/>
        <w:outlineLvl w:val="3"/>
        <w:rPr>
          <w:rFonts w:ascii="system-ui" w:eastAsia="Times New Roman" w:hAnsi="system-ui" w:cs="Times New Roman"/>
          <w:b/>
          <w:bCs/>
          <w:color w:val="FFFFFF"/>
          <w:spacing w:val="-6"/>
          <w:sz w:val="24"/>
          <w:szCs w:val="24"/>
          <w:lang w:eastAsia="en-KE"/>
        </w:rPr>
      </w:pPr>
      <w:r w:rsidRPr="00545E3C">
        <w:rPr>
          <w:rFonts w:ascii="system-ui" w:eastAsia="Times New Roman" w:hAnsi="system-ui" w:cs="Times New Roman"/>
          <w:b/>
          <w:bCs/>
          <w:color w:val="FFFFFF"/>
          <w:spacing w:val="-6"/>
          <w:sz w:val="24"/>
          <w:szCs w:val="24"/>
          <w:lang w:eastAsia="en-KE"/>
        </w:rPr>
        <w:t>Doom Loop (sub-condition within Crisis)</w:t>
      </w:r>
    </w:p>
    <w:p w14:paraId="25739574" w14:textId="77777777" w:rsidR="00545E3C" w:rsidRPr="00545E3C" w:rsidRDefault="00545E3C" w:rsidP="00545E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45E3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Trigger: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Stocks AND bonds falling simultaneously — yields rising on fiscal concern, not growth/inflation.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545E3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Action: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Bonds fail as safe haven. Gold becomes primary refuge — highest-conviction gold environment. If US-centric: expect short-term USD strength (1–4 weeks), then USD weakness if fiscal concerns deepen.</w:t>
      </w:r>
    </w:p>
    <w:p w14:paraId="5E39569C" w14:textId="77777777" w:rsidR="00545E3C" w:rsidRPr="00545E3C" w:rsidRDefault="0014695B" w:rsidP="00545E3C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21E2536C">
          <v:rect id="_x0000_i1032" style="width:0;height:0" o:hralign="center" o:hrstd="t" o:hr="t" fillcolor="#a0a0a0" stroked="f"/>
        </w:pict>
      </w:r>
    </w:p>
    <w:p w14:paraId="58BC85D9" w14:textId="77777777" w:rsidR="00545E3C" w:rsidRPr="00545E3C" w:rsidRDefault="00545E3C" w:rsidP="00545E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545E3C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Breakdowns</w:t>
      </w:r>
    </w:p>
    <w:p w14:paraId="5367B43E" w14:textId="77777777" w:rsidR="00545E3C" w:rsidRPr="00545E3C" w:rsidRDefault="00545E3C" w:rsidP="00545E3C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45E3C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545E3C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545E3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Regime transitions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(CB pivot tightening↔easing): Conflicting signals for 2–6 months. </w:t>
      </w:r>
      <w:r w:rsidRPr="00545E3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Fallback: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Minimum conviction. Defer to risk sentiment + rate differentials. Gold/BTC breakouts are earliest transition-completion signals.</w:t>
      </w:r>
    </w:p>
    <w:p w14:paraId="4C7A8344" w14:textId="77777777" w:rsidR="00545E3C" w:rsidRPr="00545E3C" w:rsidRDefault="00545E3C" w:rsidP="00545E3C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45E3C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545E3C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545E3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Decelerating growth: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Slowing-but-positive liquidity can precede declines before indicators flip. Monitor direction of change, not just level.</w:t>
      </w:r>
    </w:p>
    <w:p w14:paraId="130AB241" w14:textId="77777777" w:rsidR="00545E3C" w:rsidRPr="00545E3C" w:rsidRDefault="00545E3C" w:rsidP="00545E3C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45E3C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545E3C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545E3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Valuation extremes: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Liquidity necessary but not sufficient — does not capture bubble risk.</w:t>
      </w:r>
    </w:p>
    <w:p w14:paraId="1C652655" w14:textId="77777777" w:rsidR="00545E3C" w:rsidRPr="00545E3C" w:rsidRDefault="00545E3C" w:rsidP="00545E3C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45E3C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545E3C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545E3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PBoC opacity: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~25% of G5 aggregate has 2–4 week data lag. Supplement with total social financing data.</w:t>
      </w:r>
    </w:p>
    <w:p w14:paraId="6F7C3FA0" w14:textId="77777777" w:rsidR="00545E3C" w:rsidRPr="00545E3C" w:rsidRDefault="00545E3C" w:rsidP="00545E3C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45E3C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545E3C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545E3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Novel CB tools: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BTFP-type programs inject liquidity outside traditional balance sheets. Flag any new CB lending facility as potential untracked event.</w:t>
      </w:r>
    </w:p>
    <w:p w14:paraId="0CA1D889" w14:textId="77777777" w:rsidR="00545E3C" w:rsidRPr="00545E3C" w:rsidRDefault="0014695B" w:rsidP="00545E3C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02A726F0">
          <v:rect id="_x0000_i1033" style="width:0;height:0" o:hralign="center" o:hrstd="t" o:hr="t" fillcolor="#a0a0a0" stroked="f"/>
        </w:pict>
      </w:r>
    </w:p>
    <w:p w14:paraId="37FCB98A" w14:textId="77777777" w:rsidR="00545E3C" w:rsidRPr="00545E3C" w:rsidRDefault="00545E3C" w:rsidP="00545E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545E3C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Data Sources</w:t>
      </w:r>
    </w:p>
    <w:tbl>
      <w:tblPr>
        <w:tblW w:w="89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6328"/>
        <w:gridCol w:w="1407"/>
      </w:tblGrid>
      <w:tr w:rsidR="00545E3C" w:rsidRPr="00545E3C" w14:paraId="1DEA8901" w14:textId="77777777" w:rsidTr="00545E3C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566BEB1" w14:textId="77777777" w:rsidR="00545E3C" w:rsidRPr="001E7E2F" w:rsidRDefault="00545E3C" w:rsidP="00545E3C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val="en-US" w:eastAsia="en-KE"/>
              </w:rPr>
            </w:pPr>
            <w:r w:rsidRPr="001E7E2F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lastRenderedPageBreak/>
              <w:t>Indicator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1AE8B29" w14:textId="77777777" w:rsidR="00545E3C" w:rsidRPr="001E7E2F" w:rsidRDefault="00545E3C" w:rsidP="00545E3C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1E7E2F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Source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01D44F1" w14:textId="77777777" w:rsidR="00545E3C" w:rsidRPr="001E7E2F" w:rsidRDefault="00545E3C" w:rsidP="00545E3C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1E7E2F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Frequency</w:t>
            </w:r>
          </w:p>
        </w:tc>
      </w:tr>
      <w:tr w:rsidR="00545E3C" w:rsidRPr="00545E3C" w14:paraId="08817F39" w14:textId="77777777" w:rsidTr="00545E3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969F5D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Fed BS / ON RRP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6C8EE0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federalreserve.gov H.4.1; newyorkfed.org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B1E3EC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Weekly / Daily</w:t>
            </w:r>
          </w:p>
        </w:tc>
      </w:tr>
      <w:tr w:rsidR="00545E3C" w:rsidRPr="00545E3C" w14:paraId="46402860" w14:textId="77777777" w:rsidTr="00545E3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FA60CE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ECB BS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60BA65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ecb.europa.eu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DB7C65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Weekly</w:t>
            </w:r>
          </w:p>
        </w:tc>
      </w:tr>
      <w:tr w:rsidR="00545E3C" w:rsidRPr="00545E3C" w14:paraId="540F898D" w14:textId="77777777" w:rsidTr="00545E3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59C41E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BoJ BS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004CCE" w14:textId="77777777" w:rsid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boj.or.jp</w:t>
            </w:r>
          </w:p>
          <w:p w14:paraId="5CC5732F" w14:textId="569C4A4C" w:rsidR="00C8289E" w:rsidRPr="00545E3C" w:rsidRDefault="00C8289E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>
              <w:t xml:space="preserve">add Japan's </w:t>
            </w:r>
            <w:r>
              <w:rPr>
                <w:b/>
                <w:bCs/>
              </w:rPr>
              <w:t>Ministry of Finance (MoF) FX Reserves</w:t>
            </w:r>
            <w:r>
              <w:t xml:space="preserve"> data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E0CC6F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Weekly–Monthly</w:t>
            </w:r>
          </w:p>
        </w:tc>
      </w:tr>
      <w:tr w:rsidR="00545E3C" w:rsidRPr="00545E3C" w14:paraId="050A21C7" w14:textId="77777777" w:rsidTr="00545E3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1CCE25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PBoC BS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DD1B8B" w14:textId="3461FCDE" w:rsidR="00810DCF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PBoC Financial Statistics</w:t>
            </w:r>
          </w:p>
          <w:p w14:paraId="331D5F2C" w14:textId="152E82F0" w:rsidR="00810DCF" w:rsidRPr="00545E3C" w:rsidRDefault="00810DCF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>
              <w:t xml:space="preserve">To front-run the official PBoC balance sheet release, watch China's </w:t>
            </w:r>
            <w:r>
              <w:rPr>
                <w:b/>
                <w:bCs/>
              </w:rPr>
              <w:t>Total Social Financing (TSF)</w:t>
            </w:r>
            <w:r>
              <w:t xml:space="preserve"> and new Yuan loan data.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D8ED09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Monthly (2–4wk lag)</w:t>
            </w:r>
          </w:p>
        </w:tc>
      </w:tr>
      <w:tr w:rsidR="00545E3C" w:rsidRPr="00545E3C" w14:paraId="72E06212" w14:textId="77777777" w:rsidTr="00545E3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0BE88E9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BoE BS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9746A2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bankofengland.co.uk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E7D9596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Weekly</w:t>
            </w:r>
          </w:p>
        </w:tc>
      </w:tr>
      <w:tr w:rsidR="00545E3C" w:rsidRPr="00545E3C" w14:paraId="4CB78027" w14:textId="77777777" w:rsidTr="00545E3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1F50CA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G4 M2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6B1FC9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fred.stlouisfed.org; macromicro.me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AF4A05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Monthly</w:t>
            </w:r>
          </w:p>
        </w:tc>
      </w:tr>
      <w:tr w:rsidR="00545E3C" w:rsidRPr="00545E3C" w14:paraId="2B9354FF" w14:textId="77777777" w:rsidTr="00545E3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BC25F2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TGA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087D38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fiscaldata.treasury.gov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B8B20C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Daily</w:t>
            </w:r>
          </w:p>
        </w:tc>
      </w:tr>
      <w:tr w:rsidR="00545E3C" w:rsidRPr="00545E3C" w14:paraId="08F324F4" w14:textId="77777777" w:rsidTr="00545E3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307DEC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SOFR / IORB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5BA4EC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newyorkfed.org; federalreserve.gov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D2B193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Daily</w:t>
            </w:r>
          </w:p>
        </w:tc>
      </w:tr>
      <w:tr w:rsidR="00545E3C" w:rsidRPr="00545E3C" w14:paraId="47528F6E" w14:textId="77777777" w:rsidTr="00545E3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DD623B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lastRenderedPageBreak/>
              <w:t>DXY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0E571D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Any platform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30B9BE" w14:textId="77777777" w:rsidR="00545E3C" w:rsidRPr="00545E3C" w:rsidRDefault="00545E3C" w:rsidP="00545E3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45E3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Real-time</w:t>
            </w:r>
          </w:p>
        </w:tc>
      </w:tr>
    </w:tbl>
    <w:p w14:paraId="45554DE5" w14:textId="77777777" w:rsidR="00545E3C" w:rsidRPr="00545E3C" w:rsidRDefault="0014695B" w:rsidP="00545E3C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618D6A5A">
          <v:rect id="_x0000_i1034" style="width:0;height:0" o:hralign="center" o:hrstd="t" o:hr="t" fillcolor="#a0a0a0" stroked="f"/>
        </w:pict>
      </w:r>
    </w:p>
    <w:p w14:paraId="749A2959" w14:textId="77777777" w:rsidR="00545E3C" w:rsidRPr="00545E3C" w:rsidRDefault="00545E3C" w:rsidP="00545E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545E3C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Update Cadence</w:t>
      </w:r>
    </w:p>
    <w:p w14:paraId="59312F65" w14:textId="77777777" w:rsidR="00545E3C" w:rsidRPr="00545E3C" w:rsidRDefault="00545E3C" w:rsidP="00545E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45E3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Standard: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Weekly regime reassessment (align with Thursday H.4.1). M2 reassessed monthly on publication.</w:t>
      </w:r>
    </w:p>
    <w:p w14:paraId="4EF41D77" w14:textId="42D9AAF1" w:rsidR="00545E3C" w:rsidRPr="00217E6F" w:rsidRDefault="00545E3C" w:rsidP="00545E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val="en-US" w:eastAsia="en-KE"/>
        </w:rPr>
      </w:pPr>
      <w:r w:rsidRPr="00545E3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Immediate reassessment triggers:</w:t>
      </w: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SOFR breach of crisis threshold | Unscheduled CB balance sheet operation | TGA move &gt;$50B/week | Novel CB facility launch | DXY crosses 200-DMA with 5-close confirmation.</w:t>
      </w:r>
      <w:r w:rsidR="00217E6F">
        <w:rPr>
          <w:rFonts w:ascii="Inter" w:eastAsia="Times New Roman" w:hAnsi="Inter" w:cs="Times New Roman"/>
          <w:color w:val="F4F0EB"/>
          <w:sz w:val="21"/>
          <w:szCs w:val="21"/>
          <w:lang w:val="en-US" w:eastAsia="en-KE"/>
        </w:rPr>
        <w:t xml:space="preserve">( </w:t>
      </w:r>
      <w:r w:rsidR="00217E6F">
        <w:t xml:space="preserve">(close) beyond the 200-DMA for </w:t>
      </w:r>
      <w:r w:rsidR="00217E6F">
        <w:rPr>
          <w:b/>
          <w:bCs/>
        </w:rPr>
        <w:t>5 consecutive days</w:t>
      </w:r>
      <w:r w:rsidR="00217E6F">
        <w:t xml:space="preserve"> (one full trading week).</w:t>
      </w:r>
      <w:r w:rsidR="00217E6F">
        <w:rPr>
          <w:lang w:val="en-US"/>
        </w:rPr>
        <w:t>)</w:t>
      </w:r>
    </w:p>
    <w:p w14:paraId="061B4E07" w14:textId="77777777" w:rsidR="00545E3C" w:rsidRPr="00545E3C" w:rsidRDefault="0014695B" w:rsidP="00545E3C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0935DC23">
          <v:rect id="_x0000_i1035" style="width:0;height:0" o:hralign="center" o:hrstd="t" o:hr="t" fillcolor="#a0a0a0" stroked="f"/>
        </w:pict>
      </w:r>
    </w:p>
    <w:p w14:paraId="608D1651" w14:textId="77777777" w:rsidR="00545E3C" w:rsidRPr="00545E3C" w:rsidRDefault="00545E3C" w:rsidP="00545E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545E3C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Integration</w:t>
      </w:r>
    </w:p>
    <w:p w14:paraId="1F9E0EF9" w14:textId="77777777" w:rsidR="00545E3C" w:rsidRPr="00545E3C" w:rsidRDefault="00545E3C" w:rsidP="00545E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45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This model sets the macro liquidity backdrop; rate differentials provide currency direction and risk sentiment provides timing — this model modifies their conviction and sizing. During regime transitions (the model's failure mode), defer entirely to these faster-moving protocols until indicators realign.</w:t>
      </w:r>
    </w:p>
    <w:p w14:paraId="0DB12F5E" w14:textId="77777777" w:rsidR="00545E3C" w:rsidRPr="00545E3C" w:rsidRDefault="0014695B" w:rsidP="00545E3C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724AE23C">
          <v:rect id="_x0000_i1036" style="width:0;height:0" o:hralign="center" o:hrstd="t" o:hr="t" fillcolor="#a0a0a0" stroked="f"/>
        </w:pict>
      </w:r>
    </w:p>
    <w:p w14:paraId="6172D282" w14:textId="77777777" w:rsidR="00545E3C" w:rsidRPr="00545E3C" w:rsidRDefault="00545E3C" w:rsidP="00545E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0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45E3C">
        <w:rPr>
          <w:rFonts w:ascii="Inter" w:eastAsia="Times New Roman" w:hAnsi="Inter" w:cs="Times New Roman"/>
          <w:i/>
          <w:iCs/>
          <w:color w:val="F4F0EB"/>
          <w:sz w:val="21"/>
          <w:szCs w:val="21"/>
          <w:bdr w:val="single" w:sz="2" w:space="0" w:color="E5E7EB" w:frame="1"/>
          <w:lang w:eastAsia="en-KE"/>
        </w:rPr>
        <w:t>Reality check: This model adjusts how aggressively you trade, not what you trade. It fails during regime transitions and does not capture valuation extremes.</w:t>
      </w:r>
    </w:p>
    <w:p w14:paraId="243513D6" w14:textId="77777777" w:rsidR="00726F93" w:rsidRDefault="00726F93"/>
    <w:sectPr w:rsidR="00726F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Inter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7138D"/>
    <w:multiLevelType w:val="multilevel"/>
    <w:tmpl w:val="6E8E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1B15D8E"/>
    <w:multiLevelType w:val="multilevel"/>
    <w:tmpl w:val="A37C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D44894"/>
    <w:multiLevelType w:val="multilevel"/>
    <w:tmpl w:val="56A8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5CB0DB0"/>
    <w:multiLevelType w:val="multilevel"/>
    <w:tmpl w:val="715C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2BE6CA4"/>
    <w:multiLevelType w:val="multilevel"/>
    <w:tmpl w:val="3ACC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3C"/>
    <w:rsid w:val="000175E2"/>
    <w:rsid w:val="0014695B"/>
    <w:rsid w:val="001E7E2F"/>
    <w:rsid w:val="00217E6F"/>
    <w:rsid w:val="00312D0F"/>
    <w:rsid w:val="003A53A4"/>
    <w:rsid w:val="003D48FE"/>
    <w:rsid w:val="00545E3C"/>
    <w:rsid w:val="00604BA0"/>
    <w:rsid w:val="0062654A"/>
    <w:rsid w:val="00631928"/>
    <w:rsid w:val="00726F93"/>
    <w:rsid w:val="00810DCF"/>
    <w:rsid w:val="0086056B"/>
    <w:rsid w:val="0095619B"/>
    <w:rsid w:val="00AD72D2"/>
    <w:rsid w:val="00B0059E"/>
    <w:rsid w:val="00C8289E"/>
    <w:rsid w:val="00CB3F82"/>
    <w:rsid w:val="00CD063B"/>
    <w:rsid w:val="00D578ED"/>
    <w:rsid w:val="00D8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6DC8C"/>
  <w15:chartTrackingRefBased/>
  <w15:docId w15:val="{A0975E11-1D80-4AC1-8C9D-D7C988236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4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78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534197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35934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936248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7</Pages>
  <Words>1117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Chege</dc:creator>
  <cp:keywords/>
  <dc:description/>
  <cp:lastModifiedBy>Edwin Chege</cp:lastModifiedBy>
  <cp:revision>4</cp:revision>
  <dcterms:created xsi:type="dcterms:W3CDTF">2026-03-24T04:38:00Z</dcterms:created>
  <dcterms:modified xsi:type="dcterms:W3CDTF">2026-05-01T09:14:00Z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1f343b9a-dbf1-4262-bcec-ce6b0e463108</vt:lpwstr>
  </property>
</Properties>
</file>