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58B06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0"/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</w:pPr>
      <w:r w:rsidRPr="00B8417D"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  <w:t>MOVING AVERAGE TREND SYSTEM (MATS) PROTOCOL</w:t>
      </w:r>
    </w:p>
    <w:p w14:paraId="6DA346BC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v2.0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| </w:t>
      </w: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Source: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EMA Crossover Lessons — see lessons for pattern theory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br/>
      </w: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Forex | Gold | Silver | Oil | Indices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| </w:t>
      </w: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TF: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Daily → 4H → 1H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br/>
      </w: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Sessions: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London | NY | London–NY overlap preferred | Asian restrictions vary by instrument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br/>
      </w: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Reality: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 xml:space="preserve"> 55–65% WR | 1.5:1–2.5:1 </w:t>
      </w:r>
      <w:proofErr w:type="gramStart"/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R:R</w:t>
      </w:r>
      <w:proofErr w:type="gramEnd"/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 xml:space="preserve"> | Edge from regime + momentum + volume + multi-TF filters, not the crossover alone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br/>
      </w: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Risk: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1% per trade (0.5% if ADX 20–25). Size per Risk Framework.</w:t>
      </w:r>
    </w:p>
    <w:p w14:paraId="2BDD872B" w14:textId="77777777" w:rsidR="00B8417D" w:rsidRPr="00B8417D" w:rsidRDefault="003F3291" w:rsidP="00B8417D">
      <w:pPr>
        <w:shd w:val="clear" w:color="auto" w:fill="252523"/>
        <w:spacing w:before="686" w:after="686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pict w14:anchorId="681CFC5F">
          <v:rect id="_x0000_i1025" style="width:0;height:0" o:hralign="center" o:hrstd="t" o:hr="t" fillcolor="#a0a0a0" stroked="f"/>
        </w:pict>
      </w:r>
    </w:p>
    <w:p w14:paraId="6C97539C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B8417D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State Classification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1327"/>
        <w:gridCol w:w="4262"/>
      </w:tblGrid>
      <w:tr w:rsidR="00B8417D" w:rsidRPr="00B8417D" w14:paraId="498B6703" w14:textId="77777777" w:rsidTr="00B8417D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46F8375" w14:textId="77777777" w:rsidR="00B8417D" w:rsidRPr="00B8417D" w:rsidRDefault="00B8417D" w:rsidP="00B8417D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B8417D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ADX(14) on 1H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512D5AD" w14:textId="77777777" w:rsidR="00B8417D" w:rsidRPr="00B8417D" w:rsidRDefault="00B8417D" w:rsidP="00B8417D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B8417D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Regime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E9C3432" w14:textId="77777777" w:rsidR="00B8417D" w:rsidRPr="00B8417D" w:rsidRDefault="00B8417D" w:rsidP="00B8417D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B8417D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Action</w:t>
            </w:r>
          </w:p>
        </w:tc>
      </w:tr>
      <w:tr w:rsidR="00B8417D" w:rsidRPr="00B8417D" w14:paraId="28B3E899" w14:textId="77777777" w:rsidTr="00B8417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FBB9E2" w14:textId="77777777" w:rsidR="00B8417D" w:rsidRPr="00B8417D" w:rsidRDefault="00B8417D" w:rsidP="00B8417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B8417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&gt; 25, rising or flat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16B3C5" w14:textId="77777777" w:rsidR="00B8417D" w:rsidRPr="00B8417D" w:rsidRDefault="00B8417D" w:rsidP="00B8417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B8417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Trending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FB6DE6" w14:textId="77777777" w:rsidR="00B8417D" w:rsidRPr="00B8417D" w:rsidRDefault="00B8417D" w:rsidP="00B8417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B8417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Trade — standard rules</w:t>
            </w:r>
          </w:p>
        </w:tc>
      </w:tr>
      <w:tr w:rsidR="00B8417D" w:rsidRPr="00B8417D" w14:paraId="16911D4D" w14:textId="77777777" w:rsidTr="00B8417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EEF978" w14:textId="77777777" w:rsidR="00B8417D" w:rsidRPr="00B8417D" w:rsidRDefault="00B8417D" w:rsidP="00B8417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B8417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20–25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E539CD" w14:textId="77777777" w:rsidR="00B8417D" w:rsidRPr="00B8417D" w:rsidRDefault="00B8417D" w:rsidP="00B8417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B8417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Gray zone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E732B5" w14:textId="77777777" w:rsidR="00B8417D" w:rsidRPr="00B8417D" w:rsidRDefault="00B8417D" w:rsidP="00B8417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B8417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50% position size; ALL filters required</w:t>
            </w:r>
          </w:p>
        </w:tc>
      </w:tr>
      <w:tr w:rsidR="00B8417D" w:rsidRPr="00B8417D" w14:paraId="445DDACC" w14:textId="77777777" w:rsidTr="00B8417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1DDAC1" w14:textId="77777777" w:rsidR="00B8417D" w:rsidRPr="00B8417D" w:rsidRDefault="00B8417D" w:rsidP="00B8417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B8417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&lt; 20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5DF868" w14:textId="77777777" w:rsidR="00B8417D" w:rsidRPr="00B8417D" w:rsidRDefault="00B8417D" w:rsidP="00B8417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B8417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Ranging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0F5C8A" w14:textId="77777777" w:rsidR="00B8417D" w:rsidRPr="00B8417D" w:rsidRDefault="00B8417D" w:rsidP="00B8417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B8417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No new trades</w:t>
            </w:r>
          </w:p>
        </w:tc>
      </w:tr>
      <w:tr w:rsidR="00B8417D" w:rsidRPr="00B8417D" w14:paraId="5EB70000" w14:textId="77777777" w:rsidTr="00B8417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9F9495" w14:textId="77777777" w:rsidR="00B8417D" w:rsidRPr="00B8417D" w:rsidRDefault="00B8417D" w:rsidP="00B8417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B8417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&gt; 25, falling fast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13F51E" w14:textId="77777777" w:rsidR="00B8417D" w:rsidRPr="00B8417D" w:rsidRDefault="00B8417D" w:rsidP="00B8417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B8417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Dying trend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AF4357" w14:textId="77777777" w:rsidR="00B8417D" w:rsidRPr="00B8417D" w:rsidRDefault="00B8417D" w:rsidP="00B8417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B8417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Skip new entries</w:t>
            </w:r>
          </w:p>
        </w:tc>
      </w:tr>
    </w:tbl>
    <w:p w14:paraId="2D87DDF6" w14:textId="77777777" w:rsidR="00B8417D" w:rsidRPr="00B8417D" w:rsidRDefault="003F3291" w:rsidP="00B8417D">
      <w:pPr>
        <w:shd w:val="clear" w:color="auto" w:fill="252523"/>
        <w:spacing w:before="686" w:after="686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pict w14:anchorId="3B0AB5AF">
          <v:rect id="_x0000_i1026" style="width:0;height:0" o:hralign="center" o:hrstd="t" o:hr="t" fillcolor="#a0a0a0" stroked="f"/>
        </w:pict>
      </w:r>
    </w:p>
    <w:p w14:paraId="505B0321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B8417D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lastRenderedPageBreak/>
        <w:t>Identification</w:t>
      </w:r>
    </w:p>
    <w:p w14:paraId="4E93DDE2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B8417D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Multi-Timeframe Alignment (all three must agree)</w:t>
      </w:r>
    </w:p>
    <w:p w14:paraId="19B3F93A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Daily — bias: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Price above 200 SMA → longs only | below → shorts only | within 0.5 ATR of 200 SMA and oscillating → no trade</w:t>
      </w:r>
    </w:p>
    <w:p w14:paraId="286CDC8C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4H — setup:</w:t>
      </w:r>
    </w:p>
    <w:p w14:paraId="73559C5B" w14:textId="77777777" w:rsidR="00B8417D" w:rsidRPr="00B8417D" w:rsidRDefault="00B8417D" w:rsidP="00B8417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Long: 9 &gt; 21 &gt; 50 EMA, price above 50 EMA, 50 EMA sloping up</w:t>
      </w:r>
    </w:p>
    <w:p w14:paraId="365C436C" w14:textId="77777777" w:rsidR="00B8417D" w:rsidRPr="00B8417D" w:rsidRDefault="00B8417D" w:rsidP="00B8417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Short: 9 &lt; 21 &lt; 50 EMA, price below 50 EMA, 50 EMA sloping down</w:t>
      </w:r>
    </w:p>
    <w:p w14:paraId="0C936386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1H — trigger: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Crossover or pullback signals per Methods below</w:t>
      </w:r>
    </w:p>
    <w:p w14:paraId="0D5DC4A1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Segoe UI Emoji" w:eastAsia="Times New Roman" w:hAnsi="Segoe UI Emoji" w:cs="Segoe UI Emoji"/>
          <w:color w:val="F4F0EB"/>
          <w:sz w:val="24"/>
          <w:szCs w:val="24"/>
          <w:lang w:eastAsia="en-KE"/>
        </w:rPr>
        <w:t>❌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 xml:space="preserve"> ANY timeframe conflict </w:t>
      </w:r>
      <w:r w:rsidRPr="00B8417D">
        <w:rPr>
          <w:rFonts w:ascii="Cambria" w:eastAsia="Times New Roman" w:hAnsi="Cambria" w:cs="Cambria"/>
          <w:color w:val="F4F0EB"/>
          <w:sz w:val="24"/>
          <w:szCs w:val="24"/>
          <w:lang w:eastAsia="en-KE"/>
        </w:rPr>
        <w:t>→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 xml:space="preserve"> no trade. Higher timeframes override.</w:t>
      </w:r>
    </w:p>
    <w:p w14:paraId="614D09C3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B8417D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Indicators</w:t>
      </w:r>
    </w:p>
    <w:p w14:paraId="637C5D4C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EMAs 9, 21, 50 on all timeframes | 200 SMA on Daily | ADX(14), ATR(14), RSI(14) on 1H | Volume with 20-period MA on 1H</w:t>
      </w:r>
    </w:p>
    <w:p w14:paraId="3514162F" w14:textId="77777777" w:rsidR="00B8417D" w:rsidRPr="00B8417D" w:rsidRDefault="003F3291" w:rsidP="00B8417D">
      <w:pPr>
        <w:shd w:val="clear" w:color="auto" w:fill="252523"/>
        <w:spacing w:before="686" w:after="686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pict w14:anchorId="24E8C701">
          <v:rect id="_x0000_i1027" style="width:0;height:0" o:hralign="center" o:hrstd="t" o:hr="t" fillcolor="#a0a0a0" stroked="f"/>
        </w:pict>
      </w:r>
    </w:p>
    <w:p w14:paraId="5EA3E04A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B8417D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Method 1: Crossover Entry — Use when ADX &gt; 25, all TFs aligned</w:t>
      </w:r>
    </w:p>
    <w:p w14:paraId="4FE06135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B8417D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Long Entry</w:t>
      </w:r>
    </w:p>
    <w:p w14:paraId="6DFDFE6D" w14:textId="77777777" w:rsidR="00B8417D" w:rsidRPr="00B8417D" w:rsidRDefault="00B8417D" w:rsidP="00B8417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ADX(14) &gt; 25 on 1H, rising or flat</w:t>
      </w:r>
    </w:p>
    <w:p w14:paraId="44168313" w14:textId="77777777" w:rsidR="00B8417D" w:rsidRPr="00B8417D" w:rsidRDefault="00B8417D" w:rsidP="00B8417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RSI(14) &gt; 50 on 1H</w:t>
      </w:r>
    </w:p>
    <w:p w14:paraId="2EAF43E6" w14:textId="77777777" w:rsidR="00B8417D" w:rsidRPr="00B8417D" w:rsidRDefault="00B8417D" w:rsidP="00B8417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9 EMA crosses above 21 EMA on 1H — confirmed on candle CLOSE (no intrabar entries)</w:t>
      </w:r>
    </w:p>
    <w:p w14:paraId="14CC99C9" w14:textId="77777777" w:rsidR="00B8417D" w:rsidRPr="00B8417D" w:rsidRDefault="00B8417D" w:rsidP="00B8417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Volume on crossover bar (or next bar) &gt; 150% of 20-period average</w:t>
      </w:r>
    </w:p>
    <w:p w14:paraId="08347596" w14:textId="77777777" w:rsidR="00B8417D" w:rsidRPr="00B8417D" w:rsidRDefault="00B8417D" w:rsidP="00B8417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&lt; 3 crossovers in last 50 bars on 1H</w:t>
      </w:r>
    </w:p>
    <w:p w14:paraId="5F8FAC7E" w14:textId="77777777" w:rsidR="00B8417D" w:rsidRPr="00B8417D" w:rsidRDefault="00B8417D" w:rsidP="00B8417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Price within 2 ATR of 21 EMA</w:t>
      </w:r>
    </w:p>
    <w:p w14:paraId="25D95609" w14:textId="77777777" w:rsidR="00B8417D" w:rsidRPr="00B8417D" w:rsidRDefault="00B8417D" w:rsidP="00B8417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Enter OPEN of next candle after confirmed crossover</w:t>
      </w:r>
    </w:p>
    <w:p w14:paraId="1DC65F34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Short: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Mirror of long — reverse all directions. RSI &lt; 50.</w:t>
      </w:r>
    </w:p>
    <w:p w14:paraId="5E3F0FC0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B8417D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Aggressive Variant (ADX &gt; 35 + ATR &gt; 2× its 20-period average)</w:t>
      </w:r>
    </w:p>
    <w:p w14:paraId="344C2BFE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 xml:space="preserve">Use 5/13 EMA instead of 9/21 | Volume threshold: 120% | Stop: 1.5 × ATR. </w:t>
      </w:r>
      <w:r w:rsidRPr="00B8417D">
        <w:rPr>
          <w:rFonts w:ascii="Segoe UI Emoji" w:eastAsia="Times New Roman" w:hAnsi="Segoe UI Emoji" w:cs="Segoe UI Emoji"/>
          <w:color w:val="F4F0EB"/>
          <w:sz w:val="24"/>
          <w:szCs w:val="24"/>
          <w:lang w:eastAsia="en-KE"/>
        </w:rPr>
        <w:t>⚠️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 xml:space="preserve"> Larger losses when regime shifts </w:t>
      </w:r>
      <w:r w:rsidRPr="00B8417D">
        <w:rPr>
          <w:rFonts w:ascii="Cambria" w:eastAsia="Times New Roman" w:hAnsi="Cambria" w:cs="Cambria"/>
          <w:color w:val="F4F0EB"/>
          <w:sz w:val="24"/>
          <w:szCs w:val="24"/>
          <w:lang w:eastAsia="en-KE"/>
        </w:rPr>
        <w:t>—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 xml:space="preserve"> only when ADX clearly above 35.</w:t>
      </w:r>
    </w:p>
    <w:p w14:paraId="694070AF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B8417D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lastRenderedPageBreak/>
        <w:t>Exit Rules</w:t>
      </w:r>
    </w:p>
    <w:p w14:paraId="682FD95D" w14:textId="77777777" w:rsidR="00B8417D" w:rsidRPr="00B8417D" w:rsidRDefault="00B8417D" w:rsidP="00B8417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Stop: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2.0 × ATR(14). Low vol (ATR &lt; 0.8× its average): 1.5×. High vol (ATR &gt; 1.5× its average): 2.5×. Min 1.0×, max 3.0× ATR. Add 0.5 ATR buffer if stop lands on an MA or round number.</w:t>
      </w:r>
    </w:p>
    <w:p w14:paraId="0EB2C54A" w14:textId="77777777" w:rsidR="00B8417D" w:rsidRPr="00B8417D" w:rsidRDefault="00B8417D" w:rsidP="00B8417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Target: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No fixed target — exit on opposing 9/21 crossover confirmed on close. Close full position on OPEN of next candle.</w:t>
      </w:r>
    </w:p>
    <w:p w14:paraId="7B476F10" w14:textId="77777777" w:rsidR="00B8417D" w:rsidRPr="00B8417D" w:rsidRDefault="00B8417D" w:rsidP="00B8417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Trail: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+1.0R → breakeven | +1.5R → 0.25 ATR below low of most recent candle that closed above 9 EMA; update each new qualifying candle | +2.0R → 0.5 ATR below 9 EMA | +3.0R → close 50%, trail rest below 21 EMA. Shorts: mirror using highs/above. Never move stop backward.</w:t>
      </w:r>
    </w:p>
    <w:p w14:paraId="7E7CA814" w14:textId="77777777" w:rsidR="00B8417D" w:rsidRPr="00B8417D" w:rsidRDefault="00B8417D" w:rsidP="00B8417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Emergency: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Close immediately if ADX drops below 20 or price gaps &gt; 2 ATR against position.</w:t>
      </w:r>
    </w:p>
    <w:p w14:paraId="0F48FD6E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B8417D">
        <w:rPr>
          <w:rFonts w:ascii="Segoe UI Emoji" w:eastAsia="Times New Roman" w:hAnsi="Segoe UI Emoji" w:cs="Segoe UI Emoji"/>
          <w:b/>
          <w:bCs/>
          <w:color w:val="FFFFFF"/>
          <w:spacing w:val="-6"/>
          <w:sz w:val="31"/>
          <w:szCs w:val="31"/>
          <w:lang w:eastAsia="en-KE"/>
        </w:rPr>
        <w:t>❌</w:t>
      </w:r>
      <w:r w:rsidRPr="00B8417D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 xml:space="preserve"> Method 1 Invalidations</w:t>
      </w:r>
    </w:p>
    <w:p w14:paraId="7E2F29AB" w14:textId="77777777" w:rsidR="00B8417D" w:rsidRPr="00B8417D" w:rsidRDefault="00B8417D" w:rsidP="00B8417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Segoe UI Emoji" w:eastAsia="Times New Roman" w:hAnsi="Segoe UI Emoji" w:cs="Segoe UI Emoji"/>
          <w:color w:val="F4F0EB"/>
          <w:sz w:val="24"/>
          <w:szCs w:val="24"/>
          <w:lang w:eastAsia="en-KE"/>
        </w:rPr>
        <w:t>❌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 xml:space="preserve"> ADX &lt; 25 or falling fast from above 25</w:t>
      </w:r>
    </w:p>
    <w:p w14:paraId="725E749D" w14:textId="77777777" w:rsidR="00B8417D" w:rsidRPr="00B8417D" w:rsidRDefault="00B8417D" w:rsidP="00B8417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Segoe UI Emoji" w:eastAsia="Times New Roman" w:hAnsi="Segoe UI Emoji" w:cs="Segoe UI Emoji"/>
          <w:color w:val="F4F0EB"/>
          <w:sz w:val="24"/>
          <w:szCs w:val="24"/>
          <w:lang w:eastAsia="en-KE"/>
        </w:rPr>
        <w:t>❌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 xml:space="preserve"> RSI diverging from price</w:t>
      </w:r>
    </w:p>
    <w:p w14:paraId="2CAC8FAA" w14:textId="77777777" w:rsidR="00B8417D" w:rsidRPr="00B8417D" w:rsidRDefault="00B8417D" w:rsidP="00B8417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Segoe UI Emoji" w:eastAsia="Times New Roman" w:hAnsi="Segoe UI Emoji" w:cs="Segoe UI Emoji"/>
          <w:color w:val="F4F0EB"/>
          <w:sz w:val="24"/>
          <w:szCs w:val="24"/>
          <w:lang w:eastAsia="en-KE"/>
        </w:rPr>
        <w:t>❌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 xml:space="preserve"> Volume &lt; 150% average on crossover bar</w:t>
      </w:r>
    </w:p>
    <w:p w14:paraId="7310447F" w14:textId="77777777" w:rsidR="00B8417D" w:rsidRPr="00B8417D" w:rsidRDefault="00B8417D" w:rsidP="00B8417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Segoe UI Emoji" w:eastAsia="Times New Roman" w:hAnsi="Segoe UI Emoji" w:cs="Segoe UI Emoji"/>
          <w:color w:val="F4F0EB"/>
          <w:sz w:val="24"/>
          <w:szCs w:val="24"/>
          <w:lang w:eastAsia="en-KE"/>
        </w:rPr>
        <w:t>❌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 xml:space="preserve"> &gt; 2 crossovers in last 50 bars</w:t>
      </w:r>
    </w:p>
    <w:p w14:paraId="5220B0E0" w14:textId="77777777" w:rsidR="00B8417D" w:rsidRPr="00B8417D" w:rsidRDefault="00B8417D" w:rsidP="00B8417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Segoe UI Emoji" w:eastAsia="Times New Roman" w:hAnsi="Segoe UI Emoji" w:cs="Segoe UI Emoji"/>
          <w:color w:val="F4F0EB"/>
          <w:sz w:val="24"/>
          <w:szCs w:val="24"/>
          <w:lang w:eastAsia="en-KE"/>
        </w:rPr>
        <w:t>❌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 xml:space="preserve"> Price &gt; 2 ATR from 21 EMA (overextended)</w:t>
      </w:r>
    </w:p>
    <w:p w14:paraId="4B2E5B37" w14:textId="77777777" w:rsidR="00B8417D" w:rsidRPr="00B8417D" w:rsidRDefault="00B8417D" w:rsidP="00B8417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Segoe UI Emoji" w:eastAsia="Times New Roman" w:hAnsi="Segoe UI Emoji" w:cs="Segoe UI Emoji"/>
          <w:color w:val="F4F0EB"/>
          <w:sz w:val="24"/>
          <w:szCs w:val="24"/>
          <w:lang w:eastAsia="en-KE"/>
        </w:rPr>
        <w:t>❌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 xml:space="preserve"> Price moved &gt; 1 ATR from crossover point before entry (don't chase)</w:t>
      </w:r>
    </w:p>
    <w:p w14:paraId="4C6E1EA7" w14:textId="77777777" w:rsidR="00B8417D" w:rsidRPr="00B8417D" w:rsidRDefault="00B8417D" w:rsidP="00B8417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Segoe UI Emoji" w:eastAsia="Times New Roman" w:hAnsi="Segoe UI Emoji" w:cs="Segoe UI Emoji"/>
          <w:color w:val="F4F0EB"/>
          <w:sz w:val="24"/>
          <w:szCs w:val="24"/>
          <w:lang w:eastAsia="en-KE"/>
        </w:rPr>
        <w:t>❌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 xml:space="preserve"> Spread &gt; 150% of normal (Silver: 200% </w:t>
      </w:r>
      <w:r w:rsidRPr="00B8417D">
        <w:rPr>
          <w:rFonts w:ascii="Cambria" w:eastAsia="Times New Roman" w:hAnsi="Cambria" w:cs="Cambria"/>
          <w:color w:val="F4F0EB"/>
          <w:sz w:val="24"/>
          <w:szCs w:val="24"/>
          <w:lang w:eastAsia="en-KE"/>
        </w:rPr>
        <w:t>—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 xml:space="preserve"> see Instruments)</w:t>
      </w:r>
    </w:p>
    <w:p w14:paraId="379AC60F" w14:textId="77777777" w:rsidR="00B8417D" w:rsidRPr="00B8417D" w:rsidRDefault="00B8417D" w:rsidP="00B8417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Segoe UI Emoji" w:eastAsia="Times New Roman" w:hAnsi="Segoe UI Emoji" w:cs="Segoe UI Emoji"/>
          <w:color w:val="F4F0EB"/>
          <w:sz w:val="24"/>
          <w:szCs w:val="24"/>
          <w:lang w:eastAsia="en-KE"/>
        </w:rPr>
        <w:t>❌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 xml:space="preserve"> Price within 1 ATR of major S/R level</w:t>
      </w:r>
    </w:p>
    <w:p w14:paraId="47ACFBAD" w14:textId="77777777" w:rsidR="00B8417D" w:rsidRPr="00B8417D" w:rsidRDefault="00B8417D" w:rsidP="00B8417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Segoe UI Emoji" w:eastAsia="Times New Roman" w:hAnsi="Segoe UI Emoji" w:cs="Segoe UI Emoji"/>
          <w:color w:val="F4F0EB"/>
          <w:sz w:val="24"/>
          <w:szCs w:val="24"/>
          <w:lang w:eastAsia="en-KE"/>
        </w:rPr>
        <w:t>❌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 xml:space="preserve"> Major news within 2 hours (Oil: see Instruments for specific event buffers)</w:t>
      </w:r>
    </w:p>
    <w:p w14:paraId="523FE799" w14:textId="77777777" w:rsidR="00B8417D" w:rsidRPr="00B8417D" w:rsidRDefault="003F3291" w:rsidP="00B8417D">
      <w:pPr>
        <w:shd w:val="clear" w:color="auto" w:fill="252523"/>
        <w:spacing w:before="686" w:after="686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pict w14:anchorId="11272F55">
          <v:rect id="_x0000_i1028" style="width:0;height:0" o:hralign="center" o:hrstd="t" o:hr="t" fillcolor="#a0a0a0" stroked="f"/>
        </w:pict>
      </w:r>
    </w:p>
    <w:p w14:paraId="78A4CAEB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B8417D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Method 2: Pullback Entry — Use when trend established ≥ 20 bars and price at 50 EMA</w:t>
      </w:r>
    </w:p>
    <w:p w14:paraId="6509A09D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B8417D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Long Entry</w:t>
      </w:r>
    </w:p>
    <w:p w14:paraId="3D63A1FE" w14:textId="77777777" w:rsidR="00B8417D" w:rsidRPr="00B8417D" w:rsidRDefault="00B8417D" w:rsidP="00B8417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ADX &gt; 25 for at least 20 consecutive bars (established trend)</w:t>
      </w:r>
    </w:p>
    <w:p w14:paraId="324A69E3" w14:textId="77777777" w:rsidR="00B8417D" w:rsidRPr="00B8417D" w:rsidRDefault="00B8417D" w:rsidP="00B8417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Price pulls back into zone between 21 EMA and 50 EMA</w:t>
      </w:r>
    </w:p>
    <w:p w14:paraId="6BCCF06B" w14:textId="77777777" w:rsidR="00B8417D" w:rsidRPr="00B8417D" w:rsidRDefault="00B8417D" w:rsidP="00B8417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Candle low touches or penetrates 50 EMA</w:t>
      </w:r>
    </w:p>
    <w:p w14:paraId="30303999" w14:textId="77777777" w:rsidR="00B8417D" w:rsidRPr="00B8417D" w:rsidRDefault="00B8417D" w:rsidP="00B8417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Candle closes ABOVE 50 EMA (rejection confirmed)</w:t>
      </w:r>
    </w:p>
    <w:p w14:paraId="451E7ED2" w14:textId="77777777" w:rsidR="00B8417D" w:rsidRPr="00B8417D" w:rsidRDefault="00B8417D" w:rsidP="00B8417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Volume ≥ 100% of 20-period average</w:t>
      </w:r>
    </w:p>
    <w:p w14:paraId="3DF408C5" w14:textId="77777777" w:rsidR="00B8417D" w:rsidRPr="00B8417D" w:rsidRDefault="00B8417D" w:rsidP="00B8417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Enter when next candle breaks above prior candle's high</w:t>
      </w:r>
    </w:p>
    <w:p w14:paraId="5601362C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Short: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Mirror of long — reverse all directions.</w:t>
      </w:r>
    </w:p>
    <w:p w14:paraId="07881034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B8417D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lastRenderedPageBreak/>
        <w:t>Exit Rules</w:t>
      </w:r>
    </w:p>
    <w:p w14:paraId="09E242AE" w14:textId="77777777" w:rsidR="00B8417D" w:rsidRPr="00B8417D" w:rsidRDefault="00B8417D" w:rsidP="00B8417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Stop: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0.5 ATR beyond 50 EMA (tighter than Method 1)</w:t>
      </w:r>
    </w:p>
    <w:p w14:paraId="4824D1FF" w14:textId="77777777" w:rsidR="00B8417D" w:rsidRPr="00B8417D" w:rsidRDefault="00B8417D" w:rsidP="00B8417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Target/Trail/Emergency: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Same as Method 1</w:t>
      </w:r>
    </w:p>
    <w:p w14:paraId="4798F3BC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B8417D">
        <w:rPr>
          <w:rFonts w:ascii="Segoe UI Emoji" w:eastAsia="Times New Roman" w:hAnsi="Segoe UI Emoji" w:cs="Segoe UI Emoji"/>
          <w:b/>
          <w:bCs/>
          <w:color w:val="FFFFFF"/>
          <w:spacing w:val="-6"/>
          <w:sz w:val="31"/>
          <w:szCs w:val="31"/>
          <w:lang w:eastAsia="en-KE"/>
        </w:rPr>
        <w:t>❌</w:t>
      </w:r>
      <w:r w:rsidRPr="00B8417D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 xml:space="preserve"> Method 2 Invalidations</w:t>
      </w:r>
    </w:p>
    <w:p w14:paraId="51CB53CE" w14:textId="77777777" w:rsidR="00B8417D" w:rsidRPr="00B8417D" w:rsidRDefault="00B8417D" w:rsidP="00B8417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Segoe UI Emoji" w:eastAsia="Times New Roman" w:hAnsi="Segoe UI Emoji" w:cs="Segoe UI Emoji"/>
          <w:color w:val="F4F0EB"/>
          <w:sz w:val="24"/>
          <w:szCs w:val="24"/>
          <w:lang w:eastAsia="en-KE"/>
        </w:rPr>
        <w:t>❌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 xml:space="preserve"> ADX has not been &gt; 25 for ≥ 20 bars</w:t>
      </w:r>
    </w:p>
    <w:p w14:paraId="005ADDE2" w14:textId="77777777" w:rsidR="00B8417D" w:rsidRPr="00B8417D" w:rsidRDefault="00B8417D" w:rsidP="00B8417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Segoe UI Emoji" w:eastAsia="Times New Roman" w:hAnsi="Segoe UI Emoji" w:cs="Segoe UI Emoji"/>
          <w:color w:val="F4F0EB"/>
          <w:sz w:val="24"/>
          <w:szCs w:val="24"/>
          <w:lang w:eastAsia="en-KE"/>
        </w:rPr>
        <w:t>❌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 xml:space="preserve"> Candle closes below 50 EMA on longs / above on shorts (failed rejection)</w:t>
      </w:r>
    </w:p>
    <w:p w14:paraId="38FEC4A0" w14:textId="77777777" w:rsidR="00B8417D" w:rsidRPr="00B8417D" w:rsidRDefault="00B8417D" w:rsidP="00B8417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Segoe UI Emoji" w:eastAsia="Times New Roman" w:hAnsi="Segoe UI Emoji" w:cs="Segoe UI Emoji"/>
          <w:color w:val="F4F0EB"/>
          <w:sz w:val="24"/>
          <w:szCs w:val="24"/>
          <w:lang w:eastAsia="en-KE"/>
        </w:rPr>
        <w:t>❌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 xml:space="preserve"> Volume &lt; 100% of 20-period average</w:t>
      </w:r>
    </w:p>
    <w:p w14:paraId="20C9F755" w14:textId="77777777" w:rsidR="00B8417D" w:rsidRPr="00B8417D" w:rsidRDefault="003F3291" w:rsidP="00B8417D">
      <w:pPr>
        <w:shd w:val="clear" w:color="auto" w:fill="252523"/>
        <w:spacing w:before="686" w:after="686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pict w14:anchorId="274F8BAC">
          <v:rect id="_x0000_i1029" style="width:0;height:0" o:hralign="center" o:hrstd="t" o:hr="t" fillcolor="#a0a0a0" stroked="f"/>
        </w:pict>
      </w:r>
    </w:p>
    <w:p w14:paraId="7F224B7F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B8417D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Universal Conditions</w:t>
      </w:r>
    </w:p>
    <w:p w14:paraId="61B73C3F" w14:textId="77777777" w:rsidR="00B8417D" w:rsidRPr="00B8417D" w:rsidRDefault="00B8417D" w:rsidP="00B8417D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Segoe UI Emoji" w:eastAsia="Times New Roman" w:hAnsi="Segoe UI Emoji" w:cs="Segoe UI Emoji"/>
          <w:color w:val="F4F0EB"/>
          <w:sz w:val="24"/>
          <w:szCs w:val="24"/>
          <w:lang w:eastAsia="en-KE"/>
        </w:rPr>
        <w:t>❌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 xml:space="preserve"> No Forex entries during Asian session (Gold/Oil/Index session rules in Instruments)</w:t>
      </w:r>
    </w:p>
    <w:p w14:paraId="4D8F397E" w14:textId="77777777" w:rsidR="00B8417D" w:rsidRPr="00B8417D" w:rsidRDefault="00B8417D" w:rsidP="00B8417D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Segoe UI Emoji" w:eastAsia="Times New Roman" w:hAnsi="Segoe UI Emoji" w:cs="Segoe UI Emoji"/>
          <w:color w:val="F4F0EB"/>
          <w:sz w:val="24"/>
          <w:szCs w:val="24"/>
          <w:lang w:eastAsia="en-KE"/>
        </w:rPr>
        <w:t>❌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 xml:space="preserve"> Spread exceeding instrument threshold invalidates entry</w:t>
      </w:r>
    </w:p>
    <w:p w14:paraId="0A9D733D" w14:textId="77777777" w:rsidR="00B8417D" w:rsidRPr="00B8417D" w:rsidRDefault="003F3291" w:rsidP="00B8417D">
      <w:pPr>
        <w:shd w:val="clear" w:color="auto" w:fill="252523"/>
        <w:spacing w:before="686" w:after="686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pict w14:anchorId="31AE1D60">
          <v:rect id="_x0000_i1030" style="width:0;height:0" o:hralign="center" o:hrstd="t" o:hr="t" fillcolor="#a0a0a0" stroked="f"/>
        </w:pict>
      </w:r>
    </w:p>
    <w:p w14:paraId="555AA42E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B8417D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Instruments</w:t>
      </w:r>
    </w:p>
    <w:p w14:paraId="11595B52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Forex: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Standard parameters as described above. Avoid Asian session for majors. Check spread before entry.</w:t>
      </w:r>
    </w:p>
    <w:p w14:paraId="2C110DC4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Gold (XAUUSD):</w:t>
      </w:r>
    </w:p>
    <w:p w14:paraId="2549DBCA" w14:textId="77777777" w:rsidR="00B8417D" w:rsidRPr="00B8417D" w:rsidRDefault="00B8417D" w:rsidP="00B8417D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Stop: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2.5× ATR default (not 2.0×). Use 3.0× during Fed decisions, NFP, or geopolitical escalation.</w:t>
      </w:r>
    </w:p>
    <w:p w14:paraId="1D81A815" w14:textId="77777777" w:rsidR="00B8417D" w:rsidRPr="00B8417D" w:rsidRDefault="00B8417D" w:rsidP="00B8417D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Confirmation: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Crossover candle must close beyond BOTH the 9 and 21 EMA — not just cross. Add 0.05–0.10× ATR clearance buffer beyond the farther EMA to filter marginal closes from Gold's aggressive wicks.</w:t>
      </w:r>
    </w:p>
    <w:p w14:paraId="1219DCFD" w14:textId="77777777" w:rsidR="00B8417D" w:rsidRPr="00B8417D" w:rsidRDefault="00B8417D" w:rsidP="00B8417D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ADX: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London/NY sessions: &gt; 25. Asian session: &gt; 28–30 or require ADX rising. Conservative global default: &gt; 30.</w:t>
      </w:r>
    </w:p>
    <w:p w14:paraId="053F8199" w14:textId="77777777" w:rsidR="00B8417D" w:rsidRPr="00B8417D" w:rsidRDefault="00B8417D" w:rsidP="00B8417D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Sessions: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Prioritize London–NY overlap (13:00–16:00 GMT). Gold IS active in Asian session — do not blanket-avoid, but apply stricter confirmation and higher ADX threshold. Asian crossovers without displacement confirmation are frequently mean-reverting traps.</w:t>
      </w:r>
    </w:p>
    <w:p w14:paraId="705B7A15" w14:textId="77777777" w:rsidR="00B8417D" w:rsidRPr="00B8417D" w:rsidRDefault="00B8417D" w:rsidP="00B8417D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lastRenderedPageBreak/>
        <w:t>Volume: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CFD tick volume is a local activity gauge only. For institutional confirmation, cross-reference COMEX Gold Futures (GC) volume &gt; 150% of 20-period average when accessible.</w:t>
      </w:r>
    </w:p>
    <w:p w14:paraId="00677DFB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Silver (XAGUSD):</w:t>
      </w:r>
    </w:p>
    <w:p w14:paraId="1D58AD86" w14:textId="77777777" w:rsidR="00B8417D" w:rsidRPr="00B8417D" w:rsidRDefault="00B8417D" w:rsidP="00B8417D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Stop: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3.0× ATR default (Silver is 1.5–2× more volatile than Gold). Test range: 2.5–3.5×.</w:t>
      </w:r>
    </w:p>
    <w:p w14:paraId="6E05AF04" w14:textId="77777777" w:rsidR="00B8417D" w:rsidRPr="00B8417D" w:rsidRDefault="00B8417D" w:rsidP="00B8417D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ADX: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Require &gt; 30 (not 25).</w:t>
      </w:r>
    </w:p>
    <w:p w14:paraId="6B1823A9" w14:textId="77777777" w:rsidR="00B8417D" w:rsidRPr="00B8417D" w:rsidRDefault="00B8417D" w:rsidP="00B8417D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Whipsaw filter: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Tighten to ≤ 2 crossovers in 40–50 bars (not 3 in 50). Add 5–8 bar cooldown after any crossover exit — ignore new crosses during cooldown unless ADX is rising and above 30.</w:t>
      </w:r>
    </w:p>
    <w:p w14:paraId="181D0A4D" w14:textId="77777777" w:rsidR="00B8417D" w:rsidRPr="00B8417D" w:rsidRDefault="00B8417D" w:rsidP="00B8417D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Intermarket filter (mandatory):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Silver longs valid only if Gold Daily trend is bullish (price &gt; Daily 50 or 200 SMA). Silver shorts valid only if Gold Daily trend is bearish. Monitor Gold/Silver Ratio (GSR): rising GSR (Gold outperforming) → avoid Silver longs.</w:t>
      </w:r>
    </w:p>
    <w:p w14:paraId="2D20E1D9" w14:textId="77777777" w:rsidR="00B8417D" w:rsidRPr="00B8417D" w:rsidRDefault="00B8417D" w:rsidP="00B8417D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Spread: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Invalidate entry if spread &gt; 200% of hour-of-day median (not 150%). Silver spreads widen severely during off-hours.</w:t>
      </w:r>
    </w:p>
    <w:p w14:paraId="61850C4F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Oil (USOIL/WTI):</w:t>
      </w:r>
    </w:p>
    <w:p w14:paraId="483621AB" w14:textId="77777777" w:rsidR="00B8417D" w:rsidRPr="00B8417D" w:rsidRDefault="00B8417D" w:rsidP="00B8417D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Stop: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2.5–3.0× ATR default. Oil retraces deeply into the MA ribbon before continuing — wider stops prevent premature ejection.</w:t>
      </w:r>
    </w:p>
    <w:p w14:paraId="5FB67755" w14:textId="77777777" w:rsidR="00B8417D" w:rsidRPr="00B8417D" w:rsidRDefault="00B8417D" w:rsidP="00B8417D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ADX: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Baseline &gt; 25. Raise to 28–30 when chop filter triggers frequently. Require ADX rising to confirm expanding momentum versus temporarily elevated reading.</w:t>
      </w:r>
    </w:p>
    <w:p w14:paraId="760CEC64" w14:textId="77777777" w:rsidR="00B8417D" w:rsidRPr="00B8417D" w:rsidRDefault="00B8417D" w:rsidP="00B8417D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Event blocks (mandatory):</w:t>
      </w:r>
    </w:p>
    <w:p w14:paraId="68D5A379" w14:textId="77777777" w:rsidR="00B8417D" w:rsidRPr="00B8417D" w:rsidRDefault="00B8417D" w:rsidP="00B8417D">
      <w:pPr>
        <w:numPr>
          <w:ilvl w:val="1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Segoe UI Emoji" w:eastAsia="Times New Roman" w:hAnsi="Segoe UI Emoji" w:cs="Segoe UI Emoji"/>
          <w:color w:val="F4F0EB"/>
          <w:sz w:val="24"/>
          <w:szCs w:val="24"/>
          <w:lang w:eastAsia="en-KE"/>
        </w:rPr>
        <w:t>❌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 xml:space="preserve"> No entries within 60 min before or 30</w:t>
      </w:r>
      <w:r w:rsidRPr="00B8417D">
        <w:rPr>
          <w:rFonts w:ascii="Cambria" w:eastAsia="Times New Roman" w:hAnsi="Cambria" w:cs="Cambria"/>
          <w:color w:val="F4F0EB"/>
          <w:sz w:val="24"/>
          <w:szCs w:val="24"/>
          <w:lang w:eastAsia="en-KE"/>
        </w:rPr>
        <w:t>–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60 min after EIA report (Wed ~10:30 AM ET)</w:t>
      </w:r>
    </w:p>
    <w:p w14:paraId="66ED4F91" w14:textId="77777777" w:rsidR="00B8417D" w:rsidRPr="00B8417D" w:rsidRDefault="00B8417D" w:rsidP="00B8417D">
      <w:pPr>
        <w:numPr>
          <w:ilvl w:val="1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Segoe UI Emoji" w:eastAsia="Times New Roman" w:hAnsi="Segoe UI Emoji" w:cs="Segoe UI Emoji"/>
          <w:color w:val="F4F0EB"/>
          <w:sz w:val="24"/>
          <w:szCs w:val="24"/>
          <w:lang w:eastAsia="en-KE"/>
        </w:rPr>
        <w:t>❌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 xml:space="preserve"> No entries within 60 min before or 30</w:t>
      </w:r>
      <w:r w:rsidRPr="00B8417D">
        <w:rPr>
          <w:rFonts w:ascii="Cambria" w:eastAsia="Times New Roman" w:hAnsi="Cambria" w:cs="Cambria"/>
          <w:color w:val="F4F0EB"/>
          <w:sz w:val="24"/>
          <w:szCs w:val="24"/>
          <w:lang w:eastAsia="en-KE"/>
        </w:rPr>
        <w:t>–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60 min after API report (Tue ~4:30 PM ET)</w:t>
      </w:r>
    </w:p>
    <w:p w14:paraId="39125C1F" w14:textId="77777777" w:rsidR="00B8417D" w:rsidRPr="00B8417D" w:rsidRDefault="00B8417D" w:rsidP="00B8417D">
      <w:pPr>
        <w:numPr>
          <w:ilvl w:val="1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Existing positions into EIA: close before release OR aggressively trail stop to most recent 15-min structural pivot</w:t>
      </w:r>
    </w:p>
    <w:p w14:paraId="1064E110" w14:textId="77777777" w:rsidR="00B8417D" w:rsidRPr="00B8417D" w:rsidRDefault="00B8417D" w:rsidP="00B8417D">
      <w:pPr>
        <w:numPr>
          <w:ilvl w:val="1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Release times shift on holidays — check EIA published schedule</w:t>
      </w:r>
    </w:p>
    <w:p w14:paraId="091AE773" w14:textId="77777777" w:rsidR="00B8417D" w:rsidRPr="00B8417D" w:rsidRDefault="00B8417D" w:rsidP="00B8417D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Sessions: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Restrict new entries to European open through NYMEX close (~9:00 AM–2:30 PM ET). Ignore Asian session crossovers — insufficient institutional volume for follow-through.</w:t>
      </w:r>
    </w:p>
    <w:p w14:paraId="682DE8F0" w14:textId="77777777" w:rsidR="00B8417D" w:rsidRPr="00B8417D" w:rsidRDefault="00B8417D" w:rsidP="00B8417D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Rollovers: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No new trades once broker flips front contract to close-only. Blackout: ≥ 24h before broker's stated rollover start through 12h after completion. Roll gaps from contango/backwardation create false crossovers on continuous charts.</w:t>
      </w:r>
    </w:p>
    <w:p w14:paraId="444E27F0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Indices (NAS100, SPX500, US30):</w:t>
      </w:r>
    </w:p>
    <w:p w14:paraId="055EF97C" w14:textId="77777777" w:rsidR="00B8417D" w:rsidRPr="00B8417D" w:rsidRDefault="00B8417D" w:rsidP="00B8417D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Stop: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2.5× ATR default (overnight gap risk requires wider buffer).</w:t>
      </w:r>
    </w:p>
    <w:p w14:paraId="2795AE9D" w14:textId="77777777" w:rsidR="00B8417D" w:rsidRPr="00B8417D" w:rsidRDefault="00B8417D" w:rsidP="00B8417D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lastRenderedPageBreak/>
        <w:t>Asymmetric short filter: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Longs: ADX &gt; 25 (standard). Shorts: ADX &gt; 30–35 AND index must be trading below Daily 50 or 200 SMA. Indices have structural long bias — short-side crossovers require materially stronger trend evidence.</w:t>
      </w:r>
    </w:p>
    <w:p w14:paraId="34588917" w14:textId="77777777" w:rsidR="00B8417D" w:rsidRPr="00B8417D" w:rsidRDefault="00B8417D" w:rsidP="00B8417D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Cash open: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Skip first 30–60 min after 9:30 AM ET cash open. Opening range whipsaw from HFT rebalancing and delta-hedging is extreme.</w:t>
      </w:r>
    </w:p>
    <w:p w14:paraId="438FF8D8" w14:textId="77777777" w:rsidR="00B8417D" w:rsidRPr="00B8417D" w:rsidRDefault="00B8417D" w:rsidP="00B8417D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Breadth (replaces tick volume):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Validate signals with NYSE Advance/Decline line ($ADD &gt; +1000 preferred for longs) and up/down volume ($VOLSPD) flowing in signal direction. Bullish crossover with flat or negative breadth → discard signal.</w:t>
      </w:r>
    </w:p>
    <w:p w14:paraId="054A46DF" w14:textId="77777777" w:rsidR="00B8417D" w:rsidRPr="00B8417D" w:rsidRDefault="00B8417D" w:rsidP="00B8417D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VIX regime: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12–20: standard parameters | 20–25: raise ADX threshold +3–5 points | &gt; 25: halve position size or halt system until VIX subsides.</w:t>
      </w:r>
    </w:p>
    <w:p w14:paraId="0D8D88AB" w14:textId="77777777" w:rsidR="00B8417D" w:rsidRPr="00B8417D" w:rsidRDefault="00B8417D" w:rsidP="00B8417D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Earnings season: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Treat peak quarterly earnings weeks as elevated-noise regime. Reduce position size or require stronger confirmation (similar to gray zone treatment).</w:t>
      </w:r>
    </w:p>
    <w:p w14:paraId="09C0CFAE" w14:textId="77777777" w:rsidR="00B8417D" w:rsidRPr="00B8417D" w:rsidRDefault="00B8417D" w:rsidP="00B8417D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Correlation: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NAS100, SPX500, US30 = one exposure slot. Do not hold concurrent positions across multiple indices.</w:t>
      </w:r>
    </w:p>
    <w:p w14:paraId="44EC0B98" w14:textId="77777777" w:rsidR="00B8417D" w:rsidRPr="00B8417D" w:rsidRDefault="003F3291" w:rsidP="00B8417D">
      <w:pPr>
        <w:shd w:val="clear" w:color="auto" w:fill="252523"/>
        <w:spacing w:before="686" w:after="686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pict w14:anchorId="7FA9C82F">
          <v:rect id="_x0000_i1031" style="width:0;height:0" o:hralign="center" o:hrstd="t" o:hr="t" fillcolor="#a0a0a0" stroked="f"/>
        </w:pict>
      </w:r>
    </w:p>
    <w:p w14:paraId="2E85A7B4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i/>
          <w:iCs/>
          <w:color w:val="F4F0EB"/>
          <w:sz w:val="24"/>
          <w:szCs w:val="24"/>
          <w:bdr w:val="single" w:sz="2" w:space="0" w:color="E5E7EB" w:frame="1"/>
          <w:lang w:eastAsia="en-KE"/>
        </w:rPr>
        <w:t>Variant C (Macro Trend — 50/200 SMA on Daily chart, weeks-to-months holding, 2–4 trades/year) is a structurally different system. Recommend separate protocol.</w:t>
      </w:r>
    </w:p>
    <w:p w14:paraId="587F63EE" w14:textId="77777777" w:rsidR="00B8417D" w:rsidRPr="00B8417D" w:rsidRDefault="003F3291" w:rsidP="00B8417D">
      <w:pPr>
        <w:shd w:val="clear" w:color="auto" w:fill="252523"/>
        <w:spacing w:before="686" w:after="686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pict w14:anchorId="2F71AAE3">
          <v:rect id="_x0000_i1032" style="width:0;height:0" o:hralign="center" o:hrstd="t" o:hr="t" fillcolor="#a0a0a0" stroked="f"/>
        </w:pict>
      </w:r>
    </w:p>
    <w:p w14:paraId="754D5EB7" w14:textId="77777777" w:rsidR="00B8417D" w:rsidRPr="00B8417D" w:rsidRDefault="00B8417D" w:rsidP="00B841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0" w:line="240" w:lineRule="auto"/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</w:pPr>
      <w:r w:rsidRPr="00B8417D">
        <w:rPr>
          <w:rFonts w:ascii="Inter" w:eastAsia="Times New Roman" w:hAnsi="Inter" w:cs="Times New Roman"/>
          <w:b/>
          <w:bCs/>
          <w:color w:val="F4F0EB"/>
          <w:sz w:val="24"/>
          <w:szCs w:val="24"/>
          <w:bdr w:val="single" w:sz="2" w:space="0" w:color="E5E7EB" w:frame="1"/>
          <w:lang w:eastAsia="en-KE"/>
        </w:rPr>
        <w:t>Architect note:</w:t>
      </w:r>
      <w:r w:rsidRPr="00B8417D">
        <w:rPr>
          <w:rFonts w:ascii="Inter" w:eastAsia="Times New Roman" w:hAnsi="Inter" w:cs="Times New Roman"/>
          <w:color w:val="F4F0EB"/>
          <w:sz w:val="24"/>
          <w:szCs w:val="24"/>
          <w:lang w:eastAsia="en-KE"/>
        </w:rPr>
        <w:t> Variant C (Macro Trend) uses different instruments (Daily TF), different indicators (50/200 SMA), different holding periods (weeks–months), and different trade frequency (2–4/year). Recommend running it through the pipeline as a separate Simple protocol. Awaiting your decision.</w:t>
      </w:r>
    </w:p>
    <w:p w14:paraId="3437850C" w14:textId="77777777" w:rsidR="00B8417D" w:rsidRPr="00B8417D" w:rsidRDefault="00B8417D" w:rsidP="00B8417D">
      <w:pPr>
        <w:shd w:val="clear" w:color="auto" w:fill="252523"/>
        <w:spacing w:after="0" w:line="240" w:lineRule="auto"/>
        <w:rPr>
          <w:rFonts w:ascii="system-ui" w:eastAsia="Times New Roman" w:hAnsi="system-ui" w:cs="Times New Roman"/>
          <w:color w:val="F4F0EB"/>
          <w:sz w:val="27"/>
          <w:szCs w:val="27"/>
          <w:lang w:eastAsia="en-KE"/>
        </w:rPr>
      </w:pPr>
      <w:r w:rsidRPr="00B8417D">
        <w:rPr>
          <w:rFonts w:ascii="Consolas" w:eastAsia="Times New Roman" w:hAnsi="Consolas" w:cs="Times New Roman"/>
          <w:color w:val="F4F0EB"/>
          <w:sz w:val="27"/>
          <w:szCs w:val="27"/>
          <w:bdr w:val="single" w:sz="2" w:space="0" w:color="E5E7EB" w:frame="1"/>
          <w:lang w:eastAsia="en-KE"/>
        </w:rPr>
        <w:t>gemini-3-pro</w:t>
      </w:r>
    </w:p>
    <w:p w14:paraId="56D157E0" w14:textId="77777777" w:rsidR="00326269" w:rsidRDefault="00326269"/>
    <w:sectPr w:rsidR="00326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21ED8"/>
    <w:multiLevelType w:val="multilevel"/>
    <w:tmpl w:val="D7AA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EE157C"/>
    <w:multiLevelType w:val="multilevel"/>
    <w:tmpl w:val="E94E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293598"/>
    <w:multiLevelType w:val="multilevel"/>
    <w:tmpl w:val="8FC4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786615"/>
    <w:multiLevelType w:val="multilevel"/>
    <w:tmpl w:val="E6E2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840070"/>
    <w:multiLevelType w:val="multilevel"/>
    <w:tmpl w:val="0F90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D72C97"/>
    <w:multiLevelType w:val="multilevel"/>
    <w:tmpl w:val="D17C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5D307F"/>
    <w:multiLevelType w:val="multilevel"/>
    <w:tmpl w:val="8E70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E125C7"/>
    <w:multiLevelType w:val="multilevel"/>
    <w:tmpl w:val="164C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120EF8"/>
    <w:multiLevelType w:val="multilevel"/>
    <w:tmpl w:val="D212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590089"/>
    <w:multiLevelType w:val="multilevel"/>
    <w:tmpl w:val="790C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A57AF3"/>
    <w:multiLevelType w:val="multilevel"/>
    <w:tmpl w:val="1414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36F444A"/>
    <w:multiLevelType w:val="multilevel"/>
    <w:tmpl w:val="F850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7"/>
  </w:num>
  <w:num w:numId="5">
    <w:abstractNumId w:val="8"/>
  </w:num>
  <w:num w:numId="6">
    <w:abstractNumId w:val="11"/>
  </w:num>
  <w:num w:numId="7">
    <w:abstractNumId w:val="9"/>
  </w:num>
  <w:num w:numId="8">
    <w:abstractNumId w:val="10"/>
  </w:num>
  <w:num w:numId="9">
    <w:abstractNumId w:val="4"/>
  </w:num>
  <w:num w:numId="10">
    <w:abstractNumId w:val="5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17D"/>
    <w:rsid w:val="00326269"/>
    <w:rsid w:val="003F3291"/>
    <w:rsid w:val="00B8417D"/>
    <w:rsid w:val="00CB3F82"/>
    <w:rsid w:val="00D8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2C03C"/>
  <w15:chartTrackingRefBased/>
  <w15:docId w15:val="{17011441-D56F-4A62-81BB-2DCF9ECA7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3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768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9318592">
              <w:marLeft w:val="0"/>
              <w:marRight w:val="0"/>
              <w:marTop w:val="0"/>
              <w:marBottom w:val="0"/>
              <w:divBdr>
                <w:top w:val="single" w:sz="6" w:space="0" w:color="413D39"/>
                <w:left w:val="single" w:sz="6" w:space="0" w:color="413D39"/>
                <w:bottom w:val="single" w:sz="6" w:space="0" w:color="413D39"/>
                <w:right w:val="single" w:sz="6" w:space="0" w:color="413D39"/>
              </w:divBdr>
              <w:divsChild>
                <w:div w:id="2001301739">
                  <w:marLeft w:val="0"/>
                  <w:marRight w:val="0"/>
                  <w:marTop w:val="0"/>
                  <w:marBottom w:val="0"/>
                  <w:divBdr>
                    <w:top w:val="single" w:sz="6" w:space="0" w:color="413D39"/>
                    <w:left w:val="single" w:sz="2" w:space="0" w:color="413D39"/>
                    <w:bottom w:val="single" w:sz="2" w:space="0" w:color="413D39"/>
                    <w:right w:val="single" w:sz="2" w:space="0" w:color="413D39"/>
                  </w:divBdr>
                  <w:divsChild>
                    <w:div w:id="1268535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1226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329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1486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1191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4370276">
              <w:marLeft w:val="0"/>
              <w:marRight w:val="0"/>
              <w:marTop w:val="0"/>
              <w:marBottom w:val="0"/>
              <w:divBdr>
                <w:top w:val="single" w:sz="6" w:space="0" w:color="413D39"/>
                <w:left w:val="single" w:sz="6" w:space="0" w:color="413D39"/>
                <w:bottom w:val="single" w:sz="6" w:space="0" w:color="413D39"/>
                <w:right w:val="single" w:sz="6" w:space="0" w:color="413D39"/>
              </w:divBdr>
              <w:divsChild>
                <w:div w:id="7649608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8288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1245</Words>
  <Characters>7100</Characters>
  <Application>Microsoft Office Word</Application>
  <DocSecurity>0</DocSecurity>
  <Lines>59</Lines>
  <Paragraphs>16</Paragraphs>
  <ScaleCrop>false</ScaleCrop>
  <Company/>
  <LinksUpToDate>false</LinksUpToDate>
  <CharactersWithSpaces>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Chege</dc:creator>
  <cp:keywords/>
  <dc:description/>
  <cp:lastModifiedBy>Edwin Chege</cp:lastModifiedBy>
  <cp:revision>2</cp:revision>
  <dcterms:created xsi:type="dcterms:W3CDTF">2026-02-26T18:43:00Z</dcterms:created>
  <dcterms:modified xsi:type="dcterms:W3CDTF">2026-03-24T11:24:00Z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a93b5212-0a45-41fd-8a98-ebc2bcb1f859</vt:lpwstr>
  </property>
</Properties>
</file>