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aps/>
          <w:color w:val="0D1B2A"/>
          <w:sz w:val="56"/>
          <w:szCs w:val="56"/>
        </w:rPr>
        <w:t xml:space="preserve">EDWIN CHEGE</w:t>
      </w:r>
    </w:p>
    <w:p>
      <w:pPr>
        <w:spacing w:after="35" w:before="0"/>
        <w:jc w:val="center"/>
      </w:pPr>
      <w:r>
        <w:rPr>
          <w:rFonts w:ascii="Calibri" w:cs="Calibri" w:eastAsia="Calibri" w:hAnsi="Calibri"/>
          <w:i/>
          <w:iCs/>
          <w:color w:val="B8860B"/>
          <w:sz w:val="21"/>
          <w:szCs w:val="21"/>
        </w:rPr>
        <w:t xml:space="preserve">Quantitative Alpha Researcher  |  Systematic Trading Systems Developer</w:t>
      </w:r>
    </w:p>
    <w:p>
      <w:pPr>
        <w:spacing w:after="130" w:before="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Nairobi, Kenya  |  (+254) 748 868 940  |  jade.chege24@gmail.com  |  linkedin.com/in/edwin-chege-95298025a</w:t>
      </w:r>
    </w:p>
    <w:p>
      <w:pPr>
        <w:pBdr>
          <w:bottom w:val="single" w:color="B8860B" w:sz="10" w:space="4"/>
        </w:pBdr>
        <w:spacing w:after="70" w:before="220"/>
      </w:pPr>
      <w:r>
        <w:rPr>
          <w:rFonts w:ascii="Calibri" w:cs="Calibri" w:eastAsia="Calibri" w:hAnsi="Calibri"/>
          <w:b/>
          <w:bCs/>
          <w:caps/>
          <w:color w:val="1A5276"/>
          <w:sz w:val="21"/>
          <w:szCs w:val="21"/>
        </w:rPr>
        <w:t xml:space="preserve">RESEARCH PROFILE</w:t>
      </w:r>
    </w:p>
    <w:p>
      <w:pPr>
        <w:spacing w:after="110" w:before="90"/>
      </w:pPr>
      <w:r>
        <w:rPr>
          <w:rFonts w:ascii="Calibri" w:cs="Calibri" w:eastAsia="Calibri" w:hAnsi="Calibri"/>
          <w:color w:val="0D1B2A"/>
          <w:sz w:val="19"/>
          <w:szCs w:val="19"/>
        </w:rPr>
        <w:t xml:space="preserve">Self-directed quantitative researcher with a demonstrated ability to design, build, and validate systematic alpha-generating frameworks from first principles. Independently engineered a multi-engine Python trading system — the Protocol Engine — covering 26 mechanical strategies, 35 instruments, and 7 data pipelines (CFTC COT, FRED API, Forex Factory, rate differentials, macro sentiment). Approaches markets through rigorous statistical logic, signal decomposition, and multi-factor conviction scoring. Seeking to apply systematic alpha research skills in the WorldQuant Brain environment, where structured signal development and empirical validation are rewarded.</w:t>
      </w:r>
    </w:p>
    <w:p>
      <w:pPr>
        <w:pBdr>
          <w:bottom w:val="single" w:color="B8860B" w:sz="10" w:space="4"/>
        </w:pBdr>
        <w:spacing w:after="70" w:before="220"/>
      </w:pPr>
      <w:r>
        <w:rPr>
          <w:rFonts w:ascii="Calibri" w:cs="Calibri" w:eastAsia="Calibri" w:hAnsi="Calibri"/>
          <w:b/>
          <w:bCs/>
          <w:caps/>
          <w:color w:val="1A5276"/>
          <w:sz w:val="21"/>
          <w:szCs w:val="21"/>
        </w:rPr>
        <w:t xml:space="preserve">QUANTITATIVE RESEARCH PROJECTS</w:t>
      </w:r>
    </w:p>
    <w:p>
      <w:pPr>
        <w:tabs>
          <w:tab w:val="right" w:pos="9026"/>
        </w:tabs>
        <w:spacing w:after="15" w:before="150"/>
      </w:pPr>
      <w:r>
        <w:rPr>
          <w:rFonts w:ascii="Calibri" w:cs="Calibri" w:eastAsia="Calibri" w:hAnsi="Calibri"/>
          <w:b/>
          <w:bCs/>
          <w:color w:val="0D1B2A"/>
          <w:sz w:val="21"/>
          <w:szCs w:val="21"/>
        </w:rPr>
        <w:t xml:space="preserve">Protocol Engine v2.4  —  Systematic Multi-Strategy Alpha Framework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	2024 – 2026</w:t>
      </w:r>
    </w:p>
    <w:p>
      <w:pPr>
        <w:spacing w:after="35" w:before="0"/>
      </w:pPr>
      <w:r>
        <w:rPr>
          <w:rFonts w:ascii="Calibri" w:cs="Calibri" w:eastAsia="Calibri" w:hAnsi="Calibri"/>
          <w:i/>
          <w:iCs/>
          <w:color w:val="1A5276"/>
          <w:sz w:val="19"/>
          <w:szCs w:val="19"/>
        </w:rPr>
        <w:t xml:space="preserve">Independent Research Project  |  Python / Jupyter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Architected a </w:t>
      </w:r>
      <w:r>
        <w:rPr>
          <w:rFonts w:ascii="Calibri" w:cs="Calibri" w:eastAsia="Calibri" w:hAnsi="Calibri"/>
          <w:b/>
          <w:bCs/>
          <w:color w:val="0D1B2A"/>
          <w:sz w:val="19"/>
          <w:szCs w:val="19"/>
        </w:rPr>
        <w:t xml:space="preserve">7-engine Python system</w:t>
      </w: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 covering COT data processing, FRED macro dashboard, 28-pair interest rate differentials, live event calendar (Forex Factory API), session-state persistence, a 6-layer Conviction Matrix, and an Instrument Selector scoring 35 instruments in real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Designed a </w:t>
      </w:r>
      <w:r>
        <w:rPr>
          <w:rFonts w:ascii="Calibri" w:cs="Calibri" w:eastAsia="Calibri" w:hAnsi="Calibri"/>
          <w:b/>
          <w:bCs/>
          <w:color w:val="0D1B2A"/>
          <w:sz w:val="19"/>
          <w:szCs w:val="19"/>
        </w:rPr>
        <w:t xml:space="preserve">Conviction Matrix</w:t>
      </w: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 normalising macro signals (global liquidity, fiscal policy, rate differential, risk sentiment, retail positioning, regime classification) to SUPPORTS / OPPOSES / NEUTRAL per trade direction — analogous to alpha factor stacking in quantitative equity research.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Engineered a </w:t>
      </w:r>
      <w:r>
        <w:rPr>
          <w:rFonts w:ascii="Calibri" w:cs="Calibri" w:eastAsia="Calibri" w:hAnsi="Calibri"/>
          <w:b/>
          <w:bCs/>
          <w:color w:val="0D1B2A"/>
          <w:sz w:val="19"/>
          <w:szCs w:val="19"/>
        </w:rPr>
        <w:t xml:space="preserve">Williams %R COT percentile model</w:t>
      </w: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 (WillCo) across 12 instruments using CFTC disaggregated, TFF, and legacy data; calculates 52-week positioning extremes and open-interest gates to generate contrarian signals.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Built a </w:t>
      </w:r>
      <w:r>
        <w:rPr>
          <w:rFonts w:ascii="Calibri" w:cs="Calibri" w:eastAsia="Calibri" w:hAnsi="Calibri"/>
          <w:b/>
          <w:bCs/>
          <w:color w:val="0D1B2A"/>
          <w:sz w:val="19"/>
          <w:szCs w:val="19"/>
        </w:rPr>
        <w:t xml:space="preserve">Hybrid Rate Differential Model</w:t>
      </w: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 that separates directional bias (spread shift ≥ 50 bp = STRONG) from carry viability (absolute spread &gt; 200 bp = MAX), directly applying fixed-income yield curve logic to FX pair selection.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Implemented a </w:t>
      </w:r>
      <w:r>
        <w:rPr>
          <w:rFonts w:ascii="Calibri" w:cs="Calibri" w:eastAsia="Calibri" w:hAnsi="Calibri"/>
          <w:b/>
          <w:bCs/>
          <w:color w:val="0D1B2A"/>
          <w:sz w:val="19"/>
          <w:szCs w:val="19"/>
        </w:rPr>
        <w:t xml:space="preserve">5-tier VIX regime classifier</w:t>
      </w: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 (RISK_ON / NEUTRAL / MOD / SEVERE / EXTREME) with asymmetric hysteresis thresholds, conditional signal aging, and regime-based instrument permissions — a rule-based risk-regime filter analogous to factor drawdown controls.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D1B2A"/>
          <w:sz w:val="19"/>
          <w:szCs w:val="19"/>
        </w:rPr>
        <w:t xml:space="preserve">Developed 26 fully mechanical strategy protocols</w:t>
      </w: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 covering technical (S&amp;R, Fibonacci, MACD, RSI, Bollinger Bands, TTM Squeeze, divergence) and macro (COT, interest rates, fiscal, retail sentiment, global liquidity) alpha sources, each with quantified entry rules, stop placement, and R:R targets.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Integrated FRED API (VIX, HY OAS, TIPS, breakeven inflation, USD TWI) for real-time macro factor scoring; built robust fallback logic and staleness detection for all data feeds.</w:t>
      </w:r>
    </w:p>
    <w:p>
      <w:pPr>
        <w:tabs>
          <w:tab w:val="right" w:pos="9026"/>
        </w:tabs>
        <w:spacing w:after="15" w:before="150"/>
      </w:pPr>
      <w:r>
        <w:rPr>
          <w:rFonts w:ascii="Calibri" w:cs="Calibri" w:eastAsia="Calibri" w:hAnsi="Calibri"/>
          <w:b/>
          <w:bCs/>
          <w:color w:val="0D1B2A"/>
          <w:sz w:val="21"/>
          <w:szCs w:val="21"/>
        </w:rPr>
        <w:t xml:space="preserve">Phase 1 Gauntlet v3.0  —  Multi-Signal TradingView Indicator Suite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	2024 – 2025</w:t>
      </w:r>
    </w:p>
    <w:p>
      <w:pPr>
        <w:spacing w:after="35" w:before="0"/>
      </w:pPr>
      <w:r>
        <w:rPr>
          <w:rFonts w:ascii="Calibri" w:cs="Calibri" w:eastAsia="Calibri" w:hAnsi="Calibri"/>
          <w:i/>
          <w:iCs/>
          <w:color w:val="1A5276"/>
          <w:sz w:val="19"/>
          <w:szCs w:val="19"/>
        </w:rPr>
        <w:t xml:space="preserve">TradingView  |  Pine Script v5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Coded a TradingView Pine Script indicator set that operationalises alpha signals from the Protocol Engine, covering volume profile S&amp;R levels, multi-timeframe regime detection, Bollinger Band / Keltner Channel squeeze, and GMMA trend-ribbon confirmation.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D1B2A"/>
          <w:sz w:val="19"/>
          <w:szCs w:val="19"/>
        </w:rPr>
        <w:t xml:space="preserve">Applied instrument-specific parameter tuning</w:t>
      </w: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 (e.g., Gold mode: fan-out 0.75, persistence 3 bars vs. Forex: fan-out 0.50, persistence 2 bars), demonstrating understanding of asset-class signal decay and noise characteristics.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D1B2A"/>
          <w:sz w:val="19"/>
          <w:szCs w:val="19"/>
        </w:rPr>
        <w:t xml:space="preserve">Implemented alert logic and regime-conditional output layers</w:t>
      </w: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, enabling automated signal surfacing without discretion — a core WorldQuant Brain alpha submission requirement.</w:t>
      </w:r>
    </w:p>
    <w:p>
      <w:pPr>
        <w:tabs>
          <w:tab w:val="right" w:pos="9026"/>
        </w:tabs>
        <w:spacing w:after="15" w:before="150"/>
      </w:pPr>
      <w:r>
        <w:rPr>
          <w:rFonts w:ascii="Calibri" w:cs="Calibri" w:eastAsia="Calibri" w:hAnsi="Calibri"/>
          <w:b/>
          <w:bCs/>
          <w:color w:val="0D1B2A"/>
          <w:sz w:val="21"/>
          <w:szCs w:val="21"/>
        </w:rPr>
        <w:t xml:space="preserve">Macro Alpha Research  —  COT, Global Liquidity &amp; Sentiment Signals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	2023 – 2026</w:t>
      </w:r>
    </w:p>
    <w:p>
      <w:pPr>
        <w:spacing w:after="35" w:before="0"/>
      </w:pPr>
      <w:r>
        <w:rPr>
          <w:rFonts w:ascii="Calibri" w:cs="Calibri" w:eastAsia="Calibri" w:hAnsi="Calibri"/>
          <w:i/>
          <w:iCs/>
          <w:color w:val="1A5276"/>
          <w:sz w:val="19"/>
          <w:szCs w:val="19"/>
        </w:rPr>
        <w:t xml:space="preserve">Independent Research  |  Python, CFTC Data, FRED 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Compiled and processed CFTC Commitment of Traders data (disaggregated, TFF, legacy formats) for 12 instruments, building a pipeline that maps CFTC instrument codes, normalises open-interest figures, and outputs weekly positioning signals.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D1B2A"/>
          <w:sz w:val="19"/>
          <w:szCs w:val="19"/>
        </w:rPr>
        <w:t xml:space="preserve">Designed a Global Liquidity Regime Scoring dashboard</w:t>
      </w: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 incorporating M2 growth trends, central bank balance sheet dynamics, credit spreads, and risk asset behaviour — scored across 5 phases from Contraction to Peak Expansion.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D1B2A"/>
          <w:sz w:val="19"/>
          <w:szCs w:val="19"/>
        </w:rPr>
        <w:t xml:space="preserve">Researched and formalised a Retail Sentiment Contrarian model</w:t>
      </w: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 (P25) with source-weighting rules (FXSSI + Myfxbook multi-source = higher conviction), minimum position count gates (≥ 1,000), and JPY/Gold special-case logic.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Validated strategy parameters across 26 protocols using </w:t>
      </w:r>
      <w:r>
        <w:rPr>
          <w:rFonts w:ascii="Calibri" w:cs="Calibri" w:eastAsia="Calibri" w:hAnsi="Calibri"/>
          <w:b/>
          <w:bCs/>
          <w:color w:val="0D1B2A"/>
          <w:sz w:val="19"/>
          <w:szCs w:val="19"/>
        </w:rPr>
        <w:t xml:space="preserve">3 independent deep-research AI sources</w:t>
      </w: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 (Gemini Deep Research, ChatGPT, Perplexity), synthesised into a single master research report per protocol — analogous to cross-validation of alpha hypotheses.</w:t>
      </w:r>
    </w:p>
    <w:p>
      <w:pPr>
        <w:pBdr>
          <w:bottom w:val="single" w:color="B8860B" w:sz="10" w:space="4"/>
        </w:pBdr>
        <w:spacing w:after="70" w:before="220"/>
      </w:pPr>
      <w:r>
        <w:rPr>
          <w:rFonts w:ascii="Calibri" w:cs="Calibri" w:eastAsia="Calibri" w:hAnsi="Calibri"/>
          <w:b/>
          <w:bCs/>
          <w:caps/>
          <w:color w:val="1A5276"/>
          <w:sz w:val="21"/>
          <w:szCs w:val="21"/>
        </w:rPr>
        <w:t xml:space="preserve">TECHNICAL EXPERIENCE</w:t>
      </w:r>
    </w:p>
    <w:p>
      <w:pPr>
        <w:tabs>
          <w:tab w:val="right" w:pos="9026"/>
        </w:tabs>
        <w:spacing w:after="15" w:before="150"/>
      </w:pPr>
      <w:r>
        <w:rPr>
          <w:rFonts w:ascii="Calibri" w:cs="Calibri" w:eastAsia="Calibri" w:hAnsi="Calibri"/>
          <w:b/>
          <w:bCs/>
          <w:color w:val="0D1B2A"/>
          <w:sz w:val="21"/>
          <w:szCs w:val="21"/>
        </w:rPr>
        <w:t xml:space="preserve">Quantitative Systems Developer (Self-Directed)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	2023 – Present</w:t>
      </w:r>
    </w:p>
    <w:p>
      <w:pPr>
        <w:spacing w:after="35" w:before="0"/>
      </w:pPr>
      <w:r>
        <w:rPr>
          <w:rFonts w:ascii="Calibri" w:cs="Calibri" w:eastAsia="Calibri" w:hAnsi="Calibri"/>
          <w:i/>
          <w:iCs/>
          <w:color w:val="1A5276"/>
          <w:sz w:val="19"/>
          <w:szCs w:val="19"/>
        </w:rPr>
        <w:t xml:space="preserve">Project Playbook Gauntlet  |  Independent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Sole designer and developer of a systematic trading research system spanning signal generation, factor scoring, portfolio filtering, and risk management — built without external mentorship or institutional resources.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Applied </w:t>
      </w:r>
      <w:r>
        <w:rPr>
          <w:rFonts w:ascii="Calibri" w:cs="Calibri" w:eastAsia="Calibri" w:hAnsi="Calibri"/>
          <w:b/>
          <w:bCs/>
          <w:color w:val="0D1B2A"/>
          <w:sz w:val="19"/>
          <w:szCs w:val="19"/>
        </w:rPr>
        <w:t xml:space="preserve">signal decomposition thinking</w:t>
      </w: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: separated entry alpha (technical pattern), filter alpha (macro regime), and risk alpha (position sizing, regime-based exposure limits) — directly mirroring WorldQuant&amp;#x2019;s alpha lifecycle.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Built and stress-tested code iteratively in Jupyter, maintaining version control (Git) and a structured change log; total engine codebase ~324 KB of production-quality Python.</w:t>
      </w:r>
    </w:p>
    <w:p>
      <w:pPr>
        <w:tabs>
          <w:tab w:val="right" w:pos="9026"/>
        </w:tabs>
        <w:spacing w:after="15" w:before="150"/>
      </w:pPr>
      <w:r>
        <w:rPr>
          <w:rFonts w:ascii="Calibri" w:cs="Calibri" w:eastAsia="Calibri" w:hAnsi="Calibri"/>
          <w:b/>
          <w:bCs/>
          <w:color w:val="0D1B2A"/>
          <w:sz w:val="21"/>
          <w:szCs w:val="21"/>
        </w:rPr>
        <w:t xml:space="preserve">Pharmacy / Clinical Support Assistant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	Jan 2026 – Mar 2026</w:t>
      </w:r>
    </w:p>
    <w:p>
      <w:pPr>
        <w:spacing w:after="35" w:before="0"/>
      </w:pPr>
      <w:r>
        <w:rPr>
          <w:rFonts w:ascii="Calibri" w:cs="Calibri" w:eastAsia="Calibri" w:hAnsi="Calibri"/>
          <w:i/>
          <w:iCs/>
          <w:color w:val="1A5276"/>
          <w:sz w:val="19"/>
          <w:szCs w:val="19"/>
        </w:rPr>
        <w:t xml:space="preserve">Chemist — Nairobi, Kenya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Applied systematic assessment protocols under time pressure, paralleling the disciplined, rule-based decision-making required in algorithmic research environments.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Maintained precise records and flagged data anomalies (drug interactions, dosage discrepancies) — habits transferable to data quality control in alpha research pipelines.</w:t>
      </w:r>
    </w:p>
    <w:p>
      <w:pPr>
        <w:pBdr>
          <w:bottom w:val="single" w:color="B8860B" w:sz="10" w:space="4"/>
        </w:pBdr>
        <w:spacing w:after="70" w:before="220"/>
      </w:pPr>
      <w:r>
        <w:rPr>
          <w:rFonts w:ascii="Calibri" w:cs="Calibri" w:eastAsia="Calibri" w:hAnsi="Calibri"/>
          <w:b/>
          <w:bCs/>
          <w:caps/>
          <w:color w:val="1A5276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5" w:before="110"/>
      </w:pPr>
      <w:r>
        <w:rPr>
          <w:rFonts w:ascii="Calibri" w:cs="Calibri" w:eastAsia="Calibri" w:hAnsi="Calibri"/>
          <w:b/>
          <w:bCs/>
          <w:color w:val="0D1B2A"/>
          <w:sz w:val="20"/>
          <w:szCs w:val="20"/>
        </w:rPr>
        <w:t xml:space="preserve">Bachelor of Science in Nursing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	November 2021 – December 2025</w:t>
      </w:r>
    </w:p>
    <w:p>
      <w:pPr>
        <w:spacing w:after="35" w:before="0"/>
      </w:pPr>
      <w:r>
        <w:rPr>
          <w:rFonts w:ascii="Calibri" w:cs="Calibri" w:eastAsia="Calibri" w:hAnsi="Calibri"/>
          <w:i/>
          <w:iCs/>
          <w:color w:val="1A5276"/>
          <w:sz w:val="19"/>
          <w:szCs w:val="19"/>
        </w:rPr>
        <w:t xml:space="preserve">Chuka University, Kenya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Rigorous analytical and scientific training — epidemiology, biostatistics, pharmacology — providing quantitative reasoning foundations applicable to financial modelling and signal research.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0D1B2A"/>
          <w:sz w:val="19"/>
          <w:szCs w:val="19"/>
        </w:rPr>
        <w:t xml:space="preserve">Led health data collection and community health needs assessments, applying structured data gathering and pattern recognition in real-world environments.</w:t>
      </w:r>
    </w:p>
    <w:p>
      <w:pPr>
        <w:pBdr>
          <w:bottom w:val="single" w:color="B8860B" w:sz="10" w:space="4"/>
        </w:pBdr>
        <w:spacing w:after="70" w:before="220"/>
      </w:pPr>
      <w:r>
        <w:rPr>
          <w:rFonts w:ascii="Calibri" w:cs="Calibri" w:eastAsia="Calibri" w:hAnsi="Calibri"/>
          <w:b/>
          <w:bCs/>
          <w:caps/>
          <w:color w:val="1A5276"/>
          <w:sz w:val="21"/>
          <w:szCs w:val="21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Languages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D1B2A"/>
                <w:sz w:val="18"/>
                <w:szCs w:val="18"/>
              </w:rPr>
              <w:t xml:space="preserve">Python (Pandas, NumPy, Requests, JSON), Pine Script v5, Markdown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Data &amp; APIs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D1B2A"/>
                <w:sz w:val="18"/>
                <w:szCs w:val="18"/>
              </w:rPr>
              <w:t xml:space="preserve">CFTC CFTC ZIP feeds, FRED API, Forex Factory API, FXSSI, Myfxbook, Yahoo Finance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Quant Methods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D1B2A"/>
                <w:sz w:val="18"/>
                <w:szCs w:val="18"/>
              </w:rPr>
              <w:t xml:space="preserve">Percentile ranking (WillCo), momentum shift analysis, multi-factor conviction scoring, regime classification, carry analysis, contrarian signal generation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Tools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D1B2A"/>
                <w:sz w:val="18"/>
                <w:szCs w:val="18"/>
              </w:rPr>
              <w:t xml:space="preserve">Jupyter Notebook, Git, TradingView, MT4/MT5, Microsoft Excel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Research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D1B2A"/>
                <w:sz w:val="18"/>
                <w:szCs w:val="18"/>
              </w:rPr>
              <w:t xml:space="preserve">Signal hypothesis design, cross-source validation, parameter sensitivity, backtest framework design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Soft Skills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D1B2A"/>
                <w:sz w:val="18"/>
                <w:szCs w:val="18"/>
              </w:rPr>
              <w:t xml:space="preserve">Self-directed research, systematic documentation, iterative debugging, first-principles thinking</w:t>
            </w:r>
          </w:p>
        </w:tc>
      </w:tr>
    </w:tbl>
    <w:p>
      <w:pPr>
        <w:spacing w:after="0" w:before="90"/>
      </w:pPr>
      <w:r>
        <w:t xml:space="preserve"/>
      </w:r>
    </w:p>
    <w:p>
      <w:pPr>
        <w:pBdr>
          <w:bottom w:val="single" w:color="B8860B" w:sz="10" w:space="4"/>
        </w:pBdr>
        <w:spacing w:after="70" w:before="220"/>
      </w:pPr>
      <w:r>
        <w:rPr>
          <w:rFonts w:ascii="Calibri" w:cs="Calibri" w:eastAsia="Calibri" w:hAnsi="Calibri"/>
          <w:b/>
          <w:bCs/>
          <w:caps/>
          <w:color w:val="1A5276"/>
          <w:sz w:val="21"/>
          <w:szCs w:val="21"/>
        </w:rPr>
        <w:t xml:space="preserve">WHY WORLDQUANT BRAIN</w:t>
      </w:r>
    </w:p>
    <w:p>
      <w:pPr>
        <w:spacing w:after="60" w:before="90"/>
      </w:pPr>
      <w:r>
        <w:rPr>
          <w:rFonts w:ascii="Calibri" w:cs="Calibri" w:eastAsia="Calibri" w:hAnsi="Calibri"/>
          <w:color w:val="0D1B2A"/>
          <w:sz w:val="19"/>
          <w:szCs w:val="19"/>
        </w:rPr>
        <w:t xml:space="preserve">The WorldQuant Brain platform rewards the same discipline that defines the Protocol Engine project: form a falsifiable hypothesis, define precise entry and exit rules, stress-test against multiple data regimes, and document every assumption. Having independently built a 26-strategy, 7-engine alpha research system from scratch — without institutional backing — I bring the mindset of a self-sufficient researcher who treats every signal as a hypothesis to be proven, not assumed. I am eager to translate this systematic approach into Brain&amp;#x2019;s simulation environment, iterate rapidly on alpha ideas, and contribute to the WorldQuant Championship.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2026-04-28T08:44:07.266Z</dcterms:created>
  <dcterms:modified xsi:type="dcterms:W3CDTF">2026-04-28T08:44:07.266Z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