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9107" w14:textId="77777777" w:rsidR="000A6844" w:rsidRDefault="00E74EC7">
      <w:pPr>
        <w:pStyle w:val="Title"/>
      </w:pPr>
      <w:r>
        <w:t>P19 — RISK SENTIMENT BIAS MODEL</w:t>
      </w:r>
    </w:p>
    <w:p w14:paraId="473AB014" w14:textId="77777777" w:rsidR="000A6844" w:rsidRDefault="00E74EC7">
      <w:pPr>
        <w:spacing w:after="80"/>
      </w:pPr>
      <w:r>
        <w:t>v2.0 | Update: Pre-session (daily minimum) | All Playbook instruments</w:t>
      </w:r>
    </w:p>
    <w:p w14:paraId="3181D6BE" w14:textId="77777777" w:rsidR="000A6844" w:rsidRDefault="00E74EC7">
      <w:pPr>
        <w:pStyle w:val="Heading1"/>
      </w:pPr>
      <w:r>
        <w:t>1. Role</w:t>
      </w:r>
    </w:p>
    <w:p w14:paraId="5D180AF1" w14:textId="77777777" w:rsidR="000A6844" w:rsidRDefault="00E74EC7">
      <w:pPr>
        <w:spacing w:after="80"/>
      </w:pPr>
      <w:r>
        <w:t>P19 classifies the global risk regime into one of 5 tiers and outputs a directional permission set + position multiplier for every instrument. It feeds ConvictionMatrix classify_layer() risk_sentiment, InstrumentSelector regime permissions, P18 carry Gate 1, and P20 macro bias.</w:t>
      </w:r>
    </w:p>
    <w:p w14:paraId="7E68AA2C" w14:textId="77777777" w:rsidR="000A6844" w:rsidRDefault="00E74EC7">
      <w:pPr>
        <w:pStyle w:val="Heading1"/>
      </w:pPr>
      <w:r>
        <w:t>2. Classification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1648"/>
        <w:gridCol w:w="2261"/>
        <w:gridCol w:w="1728"/>
        <w:gridCol w:w="1609"/>
      </w:tblGrid>
      <w:tr w:rsidR="000A6844" w14:paraId="2109145A" w14:textId="77777777">
        <w:tc>
          <w:tcPr>
            <w:tcW w:w="1728" w:type="dxa"/>
          </w:tcPr>
          <w:p w14:paraId="10554609" w14:textId="77777777" w:rsidR="000A6844" w:rsidRDefault="00E74EC7">
            <w:r>
              <w:rPr>
                <w:b/>
                <w:sz w:val="18"/>
              </w:rPr>
              <w:t>VIX Level</w:t>
            </w:r>
          </w:p>
        </w:tc>
        <w:tc>
          <w:tcPr>
            <w:tcW w:w="1728" w:type="dxa"/>
          </w:tcPr>
          <w:p w14:paraId="326C780D" w14:textId="77777777" w:rsidR="000A6844" w:rsidRDefault="00E74EC7">
            <w:r>
              <w:rPr>
                <w:b/>
                <w:sz w:val="18"/>
              </w:rPr>
              <w:t>Regime</w:t>
            </w:r>
          </w:p>
        </w:tc>
        <w:tc>
          <w:tcPr>
            <w:tcW w:w="1728" w:type="dxa"/>
          </w:tcPr>
          <w:p w14:paraId="064647B8" w14:textId="77777777" w:rsidR="000A6844" w:rsidRDefault="00E74EC7">
            <w:r>
              <w:rPr>
                <w:b/>
                <w:sz w:val="18"/>
              </w:rPr>
              <w:t>Engine Value</w:t>
            </w:r>
          </w:p>
        </w:tc>
        <w:tc>
          <w:tcPr>
            <w:tcW w:w="1728" w:type="dxa"/>
          </w:tcPr>
          <w:p w14:paraId="513A0BC6" w14:textId="77777777" w:rsidR="000A6844" w:rsidRDefault="00E74EC7">
            <w:r>
              <w:rPr>
                <w:b/>
                <w:sz w:val="18"/>
              </w:rPr>
              <w:t>Core Action</w:t>
            </w:r>
          </w:p>
        </w:tc>
        <w:tc>
          <w:tcPr>
            <w:tcW w:w="1728" w:type="dxa"/>
          </w:tcPr>
          <w:p w14:paraId="3AE29208" w14:textId="77777777" w:rsidR="000A6844" w:rsidRDefault="00E74EC7">
            <w:r>
              <w:rPr>
                <w:b/>
                <w:sz w:val="18"/>
              </w:rPr>
              <w:t>Size ×</w:t>
            </w:r>
          </w:p>
        </w:tc>
      </w:tr>
      <w:tr w:rsidR="000A6844" w14:paraId="6E20BC28" w14:textId="77777777">
        <w:tc>
          <w:tcPr>
            <w:tcW w:w="1728" w:type="dxa"/>
          </w:tcPr>
          <w:p w14:paraId="745E7332" w14:textId="77777777" w:rsidR="000A6844" w:rsidRDefault="00E74EC7">
            <w:r>
              <w:rPr>
                <w:sz w:val="18"/>
              </w:rPr>
              <w:t>&lt; 16</w:t>
            </w:r>
          </w:p>
        </w:tc>
        <w:tc>
          <w:tcPr>
            <w:tcW w:w="1728" w:type="dxa"/>
          </w:tcPr>
          <w:p w14:paraId="66762F56" w14:textId="77777777" w:rsidR="000A6844" w:rsidRDefault="00E74EC7">
            <w:r>
              <w:rPr>
                <w:sz w:val="18"/>
              </w:rPr>
              <w:t>Risk-On</w:t>
            </w:r>
          </w:p>
        </w:tc>
        <w:tc>
          <w:tcPr>
            <w:tcW w:w="1728" w:type="dxa"/>
          </w:tcPr>
          <w:p w14:paraId="5F02DEEA" w14:textId="77777777" w:rsidR="000A6844" w:rsidRDefault="00E74EC7">
            <w:r>
              <w:rPr>
                <w:sz w:val="18"/>
              </w:rPr>
              <w:t>RISK_ON</w:t>
            </w:r>
          </w:p>
        </w:tc>
        <w:tc>
          <w:tcPr>
            <w:tcW w:w="1728" w:type="dxa"/>
          </w:tcPr>
          <w:p w14:paraId="0C2EADB3" w14:textId="77777777" w:rsidR="000A6844" w:rsidRDefault="00E74EC7">
            <w:r>
              <w:rPr>
                <w:sz w:val="18"/>
              </w:rPr>
              <w:t>Full permit; may lever modestly</w:t>
            </w:r>
          </w:p>
        </w:tc>
        <w:tc>
          <w:tcPr>
            <w:tcW w:w="1728" w:type="dxa"/>
          </w:tcPr>
          <w:p w14:paraId="75CA54B6" w14:textId="77777777" w:rsidR="000A6844" w:rsidRDefault="00E74EC7">
            <w:r>
              <w:rPr>
                <w:sz w:val="18"/>
              </w:rPr>
              <w:t>1.0–1.3</w:t>
            </w:r>
          </w:p>
        </w:tc>
      </w:tr>
      <w:tr w:rsidR="000A6844" w14:paraId="426B3A85" w14:textId="77777777">
        <w:tc>
          <w:tcPr>
            <w:tcW w:w="1728" w:type="dxa"/>
          </w:tcPr>
          <w:p w14:paraId="78DF360D" w14:textId="77777777" w:rsidR="000A6844" w:rsidRDefault="00E74EC7">
            <w:r>
              <w:rPr>
                <w:sz w:val="18"/>
              </w:rPr>
              <w:t>16–20</w:t>
            </w:r>
          </w:p>
        </w:tc>
        <w:tc>
          <w:tcPr>
            <w:tcW w:w="1728" w:type="dxa"/>
          </w:tcPr>
          <w:p w14:paraId="262983BD" w14:textId="77777777" w:rsidR="000A6844" w:rsidRDefault="00E74EC7">
            <w:r>
              <w:rPr>
                <w:sz w:val="18"/>
              </w:rPr>
              <w:t>Neutral</w:t>
            </w:r>
          </w:p>
        </w:tc>
        <w:tc>
          <w:tcPr>
            <w:tcW w:w="1728" w:type="dxa"/>
          </w:tcPr>
          <w:p w14:paraId="21AFBC9C" w14:textId="77777777" w:rsidR="000A6844" w:rsidRDefault="00E74EC7">
            <w:r>
              <w:rPr>
                <w:sz w:val="18"/>
              </w:rPr>
              <w:t>NEUTRAL</w:t>
            </w:r>
          </w:p>
        </w:tc>
        <w:tc>
          <w:tcPr>
            <w:tcW w:w="1728" w:type="dxa"/>
          </w:tcPr>
          <w:p w14:paraId="6DE36311" w14:textId="77777777" w:rsidR="000A6844" w:rsidRDefault="00E74EC7">
            <w:r>
              <w:rPr>
                <w:sz w:val="18"/>
              </w:rPr>
              <w:t>No bias from this model</w:t>
            </w:r>
          </w:p>
        </w:tc>
        <w:tc>
          <w:tcPr>
            <w:tcW w:w="1728" w:type="dxa"/>
          </w:tcPr>
          <w:p w14:paraId="475C7E6F" w14:textId="77777777" w:rsidR="000A6844" w:rsidRDefault="00E74EC7">
            <w:r>
              <w:rPr>
                <w:sz w:val="18"/>
              </w:rPr>
              <w:t>1.0</w:t>
            </w:r>
          </w:p>
        </w:tc>
      </w:tr>
      <w:tr w:rsidR="000A6844" w14:paraId="7828E25F" w14:textId="77777777">
        <w:tc>
          <w:tcPr>
            <w:tcW w:w="1728" w:type="dxa"/>
          </w:tcPr>
          <w:p w14:paraId="26B0E41F" w14:textId="77777777" w:rsidR="000A6844" w:rsidRDefault="00E74EC7">
            <w:r>
              <w:rPr>
                <w:sz w:val="18"/>
              </w:rPr>
              <w:t>20–30</w:t>
            </w:r>
          </w:p>
        </w:tc>
        <w:tc>
          <w:tcPr>
            <w:tcW w:w="1728" w:type="dxa"/>
          </w:tcPr>
          <w:p w14:paraId="6B2C5100" w14:textId="77777777" w:rsidR="000A6844" w:rsidRDefault="00E74EC7">
            <w:r>
              <w:rPr>
                <w:sz w:val="18"/>
              </w:rPr>
              <w:t>Moderate Risk-Off</w:t>
            </w:r>
          </w:p>
        </w:tc>
        <w:tc>
          <w:tcPr>
            <w:tcW w:w="1728" w:type="dxa"/>
          </w:tcPr>
          <w:p w14:paraId="1E2C61BE" w14:textId="77777777" w:rsidR="000A6844" w:rsidRDefault="00E74EC7">
            <w:r>
              <w:rPr>
                <w:sz w:val="18"/>
              </w:rPr>
              <w:t>MODERATE_RISK_OFF</w:t>
            </w:r>
          </w:p>
        </w:tc>
        <w:tc>
          <w:tcPr>
            <w:tcW w:w="1728" w:type="dxa"/>
          </w:tcPr>
          <w:p w14:paraId="27AE6980" w14:textId="77777777" w:rsidR="000A6844" w:rsidRDefault="00E74EC7">
            <w:r>
              <w:rPr>
                <w:sz w:val="18"/>
              </w:rPr>
              <w:t>Dampen momentum 0.50–0.75×; permit value/directional</w:t>
            </w:r>
          </w:p>
        </w:tc>
        <w:tc>
          <w:tcPr>
            <w:tcW w:w="1728" w:type="dxa"/>
          </w:tcPr>
          <w:p w14:paraId="6912252B" w14:textId="77777777" w:rsidR="000A6844" w:rsidRDefault="00E74EC7">
            <w:r>
              <w:rPr>
                <w:sz w:val="18"/>
              </w:rPr>
              <w:t>0.50–0.75</w:t>
            </w:r>
          </w:p>
        </w:tc>
      </w:tr>
      <w:tr w:rsidR="000A6844" w14:paraId="393F1DED" w14:textId="77777777">
        <w:tc>
          <w:tcPr>
            <w:tcW w:w="1728" w:type="dxa"/>
          </w:tcPr>
          <w:p w14:paraId="53814B19" w14:textId="77777777" w:rsidR="000A6844" w:rsidRDefault="00E74EC7">
            <w:r>
              <w:rPr>
                <w:sz w:val="18"/>
              </w:rPr>
              <w:t>30–45</w:t>
            </w:r>
          </w:p>
        </w:tc>
        <w:tc>
          <w:tcPr>
            <w:tcW w:w="1728" w:type="dxa"/>
          </w:tcPr>
          <w:p w14:paraId="222AF033" w14:textId="77777777" w:rsidR="000A6844" w:rsidRDefault="00E74EC7">
            <w:r>
              <w:rPr>
                <w:sz w:val="18"/>
              </w:rPr>
              <w:t>Severe Risk-Off</w:t>
            </w:r>
          </w:p>
        </w:tc>
        <w:tc>
          <w:tcPr>
            <w:tcW w:w="1728" w:type="dxa"/>
          </w:tcPr>
          <w:p w14:paraId="644DA081" w14:textId="77777777" w:rsidR="000A6844" w:rsidRDefault="00E74EC7">
            <w:r>
              <w:rPr>
                <w:sz w:val="18"/>
              </w:rPr>
              <w:t>SEVERE_RISK_OFF</w:t>
            </w:r>
          </w:p>
        </w:tc>
        <w:tc>
          <w:tcPr>
            <w:tcW w:w="1728" w:type="dxa"/>
          </w:tcPr>
          <w:p w14:paraId="111355C0" w14:textId="77777777" w:rsidR="000A6844" w:rsidRDefault="00E74EC7">
            <w:r>
              <w:rPr>
                <w:sz w:val="18"/>
              </w:rPr>
              <w:t>Block counter-trend; dampen pro-trend; suspend carry; widen stops 2× ATR</w:t>
            </w:r>
          </w:p>
        </w:tc>
        <w:tc>
          <w:tcPr>
            <w:tcW w:w="1728" w:type="dxa"/>
          </w:tcPr>
          <w:p w14:paraId="2DCD54E8" w14:textId="77777777" w:rsidR="000A6844" w:rsidRDefault="00E74EC7">
            <w:r>
              <w:rPr>
                <w:sz w:val="18"/>
              </w:rPr>
              <w:t>0.25–0.40</w:t>
            </w:r>
          </w:p>
        </w:tc>
      </w:tr>
      <w:tr w:rsidR="000A6844" w14:paraId="104784A0" w14:textId="77777777">
        <w:tc>
          <w:tcPr>
            <w:tcW w:w="1728" w:type="dxa"/>
          </w:tcPr>
          <w:p w14:paraId="456BD82D" w14:textId="77777777" w:rsidR="000A6844" w:rsidRDefault="00E74EC7">
            <w:r>
              <w:rPr>
                <w:sz w:val="18"/>
              </w:rPr>
              <w:t>&gt; 45</w:t>
            </w:r>
          </w:p>
        </w:tc>
        <w:tc>
          <w:tcPr>
            <w:tcW w:w="1728" w:type="dxa"/>
          </w:tcPr>
          <w:p w14:paraId="55511056" w14:textId="77777777" w:rsidR="000A6844" w:rsidRDefault="00E74EC7">
            <w:r>
              <w:rPr>
                <w:sz w:val="18"/>
              </w:rPr>
              <w:t>Extreme Risk-Off</w:t>
            </w:r>
          </w:p>
        </w:tc>
        <w:tc>
          <w:tcPr>
            <w:tcW w:w="1728" w:type="dxa"/>
          </w:tcPr>
          <w:p w14:paraId="21EC92DA" w14:textId="77777777" w:rsidR="000A6844" w:rsidRDefault="00E74EC7">
            <w:r>
              <w:rPr>
                <w:sz w:val="18"/>
              </w:rPr>
              <w:t>EXTREME_RISK_OFF</w:t>
            </w:r>
          </w:p>
        </w:tc>
        <w:tc>
          <w:tcPr>
            <w:tcW w:w="1728" w:type="dxa"/>
          </w:tcPr>
          <w:p w14:paraId="0BCA8659" w14:textId="77777777" w:rsidR="000A6844" w:rsidRDefault="00E74EC7">
            <w:r>
              <w:rPr>
                <w:sz w:val="18"/>
              </w:rPr>
              <w:t>Full override — regime-aligned and trend shorts only</w:t>
            </w:r>
          </w:p>
        </w:tc>
        <w:tc>
          <w:tcPr>
            <w:tcW w:w="1728" w:type="dxa"/>
          </w:tcPr>
          <w:p w14:paraId="7390ACF1" w14:textId="77777777" w:rsidR="000A6844" w:rsidRDefault="00E74EC7">
            <w:r>
              <w:rPr>
                <w:sz w:val="18"/>
              </w:rPr>
              <w:t>0.10–0.20</w:t>
            </w:r>
          </w:p>
        </w:tc>
      </w:tr>
    </w:tbl>
    <w:p w14:paraId="22B7B755" w14:textId="77777777" w:rsidR="000A6844" w:rsidRDefault="00E74EC7">
      <w:pPr>
        <w:spacing w:after="80"/>
      </w:pPr>
      <w:r>
        <w:t>Boundaries are closed-left: VIX at exactly 16 = Neutral, 20 = Moderate, 30 = Severe, 45 = Extreme. No VIX level is unclassified.</w:t>
      </w:r>
    </w:p>
    <w:p w14:paraId="7D00FD1C" w14:textId="77777777" w:rsidR="000A6844" w:rsidRDefault="00E74EC7">
      <w:pPr>
        <w:pStyle w:val="Heading1"/>
      </w:pPr>
      <w:r>
        <w:t>3. Confirmation Requirement</w:t>
      </w:r>
    </w:p>
    <w:p w14:paraId="29FB1515" w14:textId="77777777" w:rsidR="000A6844" w:rsidRDefault="00E74EC7">
      <w:pPr>
        <w:spacing w:after="80"/>
      </w:pPr>
      <w:r>
        <w:rPr>
          <w:b/>
        </w:rPr>
        <w:t>Ordered check sequence:</w:t>
      </w:r>
    </w:p>
    <w:p w14:paraId="20648E7D" w14:textId="77777777" w:rsidR="000A6844" w:rsidRDefault="00E74EC7">
      <w:pPr>
        <w:spacing w:after="80"/>
      </w:pPr>
      <w:r>
        <w:t>(1) VIX spot level → (2) VIX futures curve shape → (3) HY credit spreads direction → (4) headline risk catalysts (GPR/EPU)</w:t>
      </w:r>
    </w:p>
    <w:p w14:paraId="4CBB0C4E" w14:textId="77777777" w:rsidR="000A6844" w:rsidRDefault="00E74EC7">
      <w:pPr>
        <w:spacing w:after="80"/>
      </w:pPr>
      <w:r>
        <w:rPr>
          <w:b/>
        </w:rPr>
        <w:t>Reclassification rules:</w:t>
      </w:r>
    </w:p>
    <w:p w14:paraId="3ED3DD55" w14:textId="77777777" w:rsidR="000A6844" w:rsidRDefault="00E74EC7">
      <w:pPr>
        <w:spacing w:after="80"/>
      </w:pPr>
      <w:r>
        <w:lastRenderedPageBreak/>
        <w:t>✅ Auto-reliable: VIX &lt; 16 or VIX &gt; 35 → single indicator sufficient for classification.</w:t>
      </w:r>
      <w:r>
        <w:br/>
        <w:t>✅ Standard: Require 2+ indicators aligning before escalating conviction to maximum within a tier.</w:t>
      </w:r>
      <w:r>
        <w:br/>
        <w:t>✅ VIX/VIX3M ratio &gt; 1.0 for 2 consecutive days = structural risk-off confirmation (conviction amplifier).</w:t>
      </w:r>
      <w:r>
        <w:br/>
        <w:t>✅ VVIX &gt; 110 = institutional hedging demand surge (secondary confirmation).</w:t>
      </w:r>
    </w:p>
    <w:p w14:paraId="60DEED47" w14:textId="77777777" w:rsidR="000A6844" w:rsidRDefault="00E74EC7">
      <w:pPr>
        <w:spacing w:after="80"/>
      </w:pPr>
      <w:r>
        <w:rPr>
          <w:b/>
        </w:rPr>
        <w:t>Transition rules (asymmetric):</w:t>
      </w:r>
    </w:p>
    <w:p w14:paraId="6341B01B" w14:textId="77777777" w:rsidR="000A6844" w:rsidRDefault="00E74EC7">
      <w:pPr>
        <w:spacing w:after="80"/>
      </w:pPr>
      <w:r>
        <w:t>→ Entry into higher risk-off tier: Immediate on daily close above boundary.</w:t>
      </w:r>
      <w:r>
        <w:br/>
        <w:t>→ Exit to lower tier: 3 consecutive daily closes below exit threshold.</w:t>
      </w:r>
      <w:r>
        <w:br/>
        <w:t>→ Exit threshold = entry boundary minus 5-point hysteresis band.</w:t>
      </w:r>
      <w:r>
        <w:br/>
        <w:t>Examples: Enter Severe at 30, exit below 25 (3 closes). Enter Extreme at 45, exit below 40 (3 closes). Enter Moderate at 20, exit below 15 (3 closes).</w:t>
      </w:r>
    </w:p>
    <w:p w14:paraId="6A0DEA8D" w14:textId="77777777" w:rsidR="000A6844" w:rsidRDefault="00E74EC7">
      <w:pPr>
        <w:pStyle w:val="Heading1"/>
      </w:pPr>
      <w:r>
        <w:t>4. Regime Aging</w:t>
      </w:r>
    </w:p>
    <w:p w14:paraId="32EC0EE5" w14:textId="77777777" w:rsidR="000A6844" w:rsidRDefault="00E74EC7">
      <w:pPr>
        <w:spacing w:after="80"/>
      </w:pPr>
      <w:r>
        <w:t>Day 0 = day VIX first closes in the new tier. If VIX escalates tiers, aging resets to Day 0. Aging is manual — not in the engine.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6844" w14:paraId="2F9F308D" w14:textId="77777777">
        <w:tc>
          <w:tcPr>
            <w:tcW w:w="2160" w:type="dxa"/>
          </w:tcPr>
          <w:p w14:paraId="250441B5" w14:textId="77777777" w:rsidR="000A6844" w:rsidRDefault="00E74EC7">
            <w:r>
              <w:rPr>
                <w:b/>
                <w:sz w:val="18"/>
              </w:rPr>
              <w:t>Shock Type</w:t>
            </w:r>
          </w:p>
        </w:tc>
        <w:tc>
          <w:tcPr>
            <w:tcW w:w="2160" w:type="dxa"/>
          </w:tcPr>
          <w:p w14:paraId="2F59806A" w14:textId="77777777" w:rsidR="000A6844" w:rsidRDefault="00E74EC7">
            <w:r>
              <w:rPr>
                <w:b/>
                <w:sz w:val="18"/>
              </w:rPr>
              <w:t>Full Override</w:t>
            </w:r>
          </w:p>
        </w:tc>
        <w:tc>
          <w:tcPr>
            <w:tcW w:w="2160" w:type="dxa"/>
          </w:tcPr>
          <w:p w14:paraId="17A03D2D" w14:textId="77777777" w:rsidR="000A6844" w:rsidRDefault="00E74EC7">
            <w:r>
              <w:rPr>
                <w:b/>
                <w:sz w:val="18"/>
              </w:rPr>
              <w:t>Strong Overlay</w:t>
            </w:r>
          </w:p>
        </w:tc>
        <w:tc>
          <w:tcPr>
            <w:tcW w:w="2160" w:type="dxa"/>
          </w:tcPr>
          <w:p w14:paraId="79579294" w14:textId="77777777" w:rsidR="000A6844" w:rsidRDefault="00E74EC7">
            <w:r>
              <w:rPr>
                <w:b/>
                <w:sz w:val="18"/>
              </w:rPr>
              <w:t>Moderate Overlay</w:t>
            </w:r>
          </w:p>
        </w:tc>
      </w:tr>
      <w:tr w:rsidR="000A6844" w14:paraId="63E105DC" w14:textId="77777777">
        <w:tc>
          <w:tcPr>
            <w:tcW w:w="2160" w:type="dxa"/>
          </w:tcPr>
          <w:p w14:paraId="09166393" w14:textId="77777777" w:rsidR="000A6844" w:rsidRDefault="00E74EC7">
            <w:r>
              <w:rPr>
                <w:sz w:val="18"/>
              </w:rPr>
              <w:t>Technical / Mechanical</w:t>
            </w:r>
          </w:p>
        </w:tc>
        <w:tc>
          <w:tcPr>
            <w:tcW w:w="2160" w:type="dxa"/>
          </w:tcPr>
          <w:p w14:paraId="3AF6A36B" w14:textId="77777777" w:rsidR="000A6844" w:rsidRDefault="00E74EC7">
            <w:r>
              <w:rPr>
                <w:sz w:val="18"/>
              </w:rPr>
              <w:t>Day 0–2</w:t>
            </w:r>
          </w:p>
        </w:tc>
        <w:tc>
          <w:tcPr>
            <w:tcW w:w="2160" w:type="dxa"/>
          </w:tcPr>
          <w:p w14:paraId="22E80F5F" w14:textId="77777777" w:rsidR="000A6844" w:rsidRDefault="00E74EC7">
            <w:r>
              <w:rPr>
                <w:sz w:val="18"/>
              </w:rPr>
              <w:t>Day 2–5</w:t>
            </w:r>
          </w:p>
        </w:tc>
        <w:tc>
          <w:tcPr>
            <w:tcW w:w="2160" w:type="dxa"/>
          </w:tcPr>
          <w:p w14:paraId="3BA27EA3" w14:textId="77777777" w:rsidR="000A6844" w:rsidRDefault="00E74EC7">
            <w:r>
              <w:rPr>
                <w:sz w:val="18"/>
              </w:rPr>
              <w:t>Day 5+</w:t>
            </w:r>
          </w:p>
        </w:tc>
      </w:tr>
      <w:tr w:rsidR="000A6844" w14:paraId="61763BF2" w14:textId="77777777">
        <w:tc>
          <w:tcPr>
            <w:tcW w:w="2160" w:type="dxa"/>
          </w:tcPr>
          <w:p w14:paraId="4AAAB02C" w14:textId="77777777" w:rsidR="000A6844" w:rsidRDefault="00E74EC7">
            <w:r>
              <w:rPr>
                <w:sz w:val="18"/>
              </w:rPr>
              <w:t>Acute Event / Policy</w:t>
            </w:r>
          </w:p>
        </w:tc>
        <w:tc>
          <w:tcPr>
            <w:tcW w:w="2160" w:type="dxa"/>
          </w:tcPr>
          <w:p w14:paraId="11356D5E" w14:textId="77777777" w:rsidR="000A6844" w:rsidRDefault="00E74EC7">
            <w:r>
              <w:rPr>
                <w:sz w:val="18"/>
              </w:rPr>
              <w:t>Day 0–3</w:t>
            </w:r>
          </w:p>
        </w:tc>
        <w:tc>
          <w:tcPr>
            <w:tcW w:w="2160" w:type="dxa"/>
          </w:tcPr>
          <w:p w14:paraId="49B15968" w14:textId="77777777" w:rsidR="000A6844" w:rsidRDefault="00E74EC7">
            <w:r>
              <w:rPr>
                <w:sz w:val="18"/>
              </w:rPr>
              <w:t>Day 3–10</w:t>
            </w:r>
          </w:p>
        </w:tc>
        <w:tc>
          <w:tcPr>
            <w:tcW w:w="2160" w:type="dxa"/>
          </w:tcPr>
          <w:p w14:paraId="33BFD5B4" w14:textId="77777777" w:rsidR="000A6844" w:rsidRDefault="00E74EC7">
            <w:r>
              <w:rPr>
                <w:sz w:val="18"/>
              </w:rPr>
              <w:t>Day 10+</w:t>
            </w:r>
          </w:p>
        </w:tc>
      </w:tr>
      <w:tr w:rsidR="000A6844" w14:paraId="02648EFE" w14:textId="77777777">
        <w:tc>
          <w:tcPr>
            <w:tcW w:w="2160" w:type="dxa"/>
          </w:tcPr>
          <w:p w14:paraId="0FE69FCA" w14:textId="77777777" w:rsidR="000A6844" w:rsidRDefault="00E74EC7">
            <w:r>
              <w:rPr>
                <w:sz w:val="18"/>
              </w:rPr>
              <w:t>Systemic + Intervention</w:t>
            </w:r>
          </w:p>
        </w:tc>
        <w:tc>
          <w:tcPr>
            <w:tcW w:w="2160" w:type="dxa"/>
          </w:tcPr>
          <w:p w14:paraId="1D8CB8F0" w14:textId="77777777" w:rsidR="000A6844" w:rsidRDefault="00E74EC7">
            <w:r>
              <w:rPr>
                <w:sz w:val="18"/>
              </w:rPr>
              <w:t>Day 0–5</w:t>
            </w:r>
          </w:p>
        </w:tc>
        <w:tc>
          <w:tcPr>
            <w:tcW w:w="2160" w:type="dxa"/>
          </w:tcPr>
          <w:p w14:paraId="3A9F9DA3" w14:textId="77777777" w:rsidR="000A6844" w:rsidRDefault="00E74EC7">
            <w:r>
              <w:rPr>
                <w:sz w:val="18"/>
              </w:rPr>
              <w:t>Day 5–20</w:t>
            </w:r>
          </w:p>
        </w:tc>
        <w:tc>
          <w:tcPr>
            <w:tcW w:w="2160" w:type="dxa"/>
          </w:tcPr>
          <w:p w14:paraId="186F56E0" w14:textId="77777777" w:rsidR="000A6844" w:rsidRDefault="00E74EC7">
            <w:r>
              <w:rPr>
                <w:sz w:val="18"/>
              </w:rPr>
              <w:t>Day 20+</w:t>
            </w:r>
          </w:p>
        </w:tc>
      </w:tr>
      <w:tr w:rsidR="000A6844" w14:paraId="3DD4841A" w14:textId="77777777">
        <w:tc>
          <w:tcPr>
            <w:tcW w:w="2160" w:type="dxa"/>
          </w:tcPr>
          <w:p w14:paraId="66CE61EA" w14:textId="77777777" w:rsidR="000A6844" w:rsidRDefault="00E74EC7">
            <w:r>
              <w:rPr>
                <w:sz w:val="18"/>
              </w:rPr>
              <w:t>Systemic Structural</w:t>
            </w:r>
          </w:p>
        </w:tc>
        <w:tc>
          <w:tcPr>
            <w:tcW w:w="2160" w:type="dxa"/>
          </w:tcPr>
          <w:p w14:paraId="168F3E55" w14:textId="77777777" w:rsidR="000A6844" w:rsidRDefault="00E74EC7">
            <w:r>
              <w:rPr>
                <w:sz w:val="18"/>
              </w:rPr>
              <w:t>Day 0–10</w:t>
            </w:r>
          </w:p>
        </w:tc>
        <w:tc>
          <w:tcPr>
            <w:tcW w:w="2160" w:type="dxa"/>
          </w:tcPr>
          <w:p w14:paraId="1056F1B6" w14:textId="77777777" w:rsidR="000A6844" w:rsidRDefault="00E74EC7">
            <w:r>
              <w:rPr>
                <w:sz w:val="18"/>
              </w:rPr>
              <w:t>Day 10–40</w:t>
            </w:r>
          </w:p>
        </w:tc>
        <w:tc>
          <w:tcPr>
            <w:tcW w:w="2160" w:type="dxa"/>
          </w:tcPr>
          <w:p w14:paraId="72839ABF" w14:textId="77777777" w:rsidR="000A6844" w:rsidRDefault="00E74EC7">
            <w:r>
              <w:rPr>
                <w:sz w:val="18"/>
              </w:rPr>
              <w:t>Day 40+</w:t>
            </w:r>
          </w:p>
        </w:tc>
      </w:tr>
    </w:tbl>
    <w:p w14:paraId="1CDCB6E2" w14:textId="77777777" w:rsidR="000A6844" w:rsidRDefault="00E74EC7">
      <w:pPr>
        <w:spacing w:after="80"/>
      </w:pPr>
      <w:r>
        <w:t>If shock type is uncertain → default to Acute Event / Policy schedule.</w:t>
      </w:r>
    </w:p>
    <w:p w14:paraId="5A60C2FC" w14:textId="77777777" w:rsidR="000A6844" w:rsidRDefault="00E74EC7">
      <w:pPr>
        <w:spacing w:after="80"/>
      </w:pPr>
      <w:r>
        <w:rPr>
          <w:b/>
        </w:rPr>
        <w:t>Reset to Day 0 if ANY of:</w:t>
      </w:r>
    </w:p>
    <w:p w14:paraId="4D2510F1" w14:textId="77777777" w:rsidR="000A6844" w:rsidRDefault="00E74EC7">
      <w:pPr>
        <w:spacing w:after="80"/>
      </w:pPr>
      <w:r>
        <w:t>• VIX rises ≥5 points from post-shock local low</w:t>
      </w:r>
      <w:r>
        <w:br/>
        <w:t>• VIX/VIX3M re-inverts above 1.0 after normalizing</w:t>
      </w:r>
      <w:r>
        <w:br/>
        <w:t>• HY OAS widens &gt;100 bps from post-shock tightening low</w:t>
      </w:r>
    </w:p>
    <w:p w14:paraId="2207CDC3" w14:textId="77777777" w:rsidR="000A6844" w:rsidRDefault="00E74EC7">
      <w:pPr>
        <w:pStyle w:val="Heading1"/>
      </w:pPr>
      <w:r>
        <w:t>5. Breakdown Conditions</w:t>
      </w:r>
    </w:p>
    <w:p w14:paraId="206D6E02" w14:textId="63983DB7" w:rsidR="000A6844" w:rsidRDefault="00E74EC7">
      <w:pPr>
        <w:spacing w:after="80"/>
      </w:pPr>
      <w:r>
        <w:t xml:space="preserve">BCs override standard tier rules. Multiple BCs can be active simultaneously. Conflict resolution: if two BCs prescribe contradictory USD bias, cross-currency basis blowout (dollar shortage) → USD </w:t>
      </w:r>
      <w:r>
        <w:lastRenderedPageBreak/>
        <w:t xml:space="preserve">appreciates regardless; </w:t>
      </w:r>
      <w:r w:rsidR="00185C0F" w:rsidRPr="00185C0F">
        <w:t>If there is no shortage of US dollars, the currency of the country where the crisis started will be the one that weakens the most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6844" w:rsidRPr="00185C0F" w14:paraId="08E933A2" w14:textId="77777777">
        <w:tc>
          <w:tcPr>
            <w:tcW w:w="2880" w:type="dxa"/>
          </w:tcPr>
          <w:p w14:paraId="21221719" w14:textId="77777777" w:rsidR="000A6844" w:rsidRPr="004A44B4" w:rsidRDefault="00E74EC7">
            <w:pPr>
              <w:rPr>
                <w:color w:val="FF0000"/>
                <w:szCs w:val="24"/>
              </w:rPr>
            </w:pPr>
            <w:r w:rsidRPr="004A44B4">
              <w:rPr>
                <w:b/>
                <w:color w:val="FF0000"/>
                <w:szCs w:val="24"/>
              </w:rPr>
              <w:t>Code</w:t>
            </w:r>
          </w:p>
        </w:tc>
        <w:tc>
          <w:tcPr>
            <w:tcW w:w="2880" w:type="dxa"/>
          </w:tcPr>
          <w:p w14:paraId="33DCE1CA" w14:textId="77777777" w:rsidR="000A6844" w:rsidRPr="004A44B4" w:rsidRDefault="00E74EC7">
            <w:pPr>
              <w:rPr>
                <w:color w:val="FF0000"/>
                <w:szCs w:val="24"/>
              </w:rPr>
            </w:pPr>
            <w:r w:rsidRPr="004A44B4">
              <w:rPr>
                <w:b/>
                <w:color w:val="FF0000"/>
                <w:szCs w:val="24"/>
              </w:rPr>
              <w:t>Trigger</w:t>
            </w:r>
          </w:p>
        </w:tc>
        <w:tc>
          <w:tcPr>
            <w:tcW w:w="2880" w:type="dxa"/>
          </w:tcPr>
          <w:p w14:paraId="3BCED5B4" w14:textId="77777777" w:rsidR="000A6844" w:rsidRPr="004A44B4" w:rsidRDefault="00E74EC7">
            <w:pPr>
              <w:rPr>
                <w:color w:val="FF0000"/>
                <w:szCs w:val="24"/>
              </w:rPr>
            </w:pPr>
            <w:r w:rsidRPr="004A44B4">
              <w:rPr>
                <w:b/>
                <w:color w:val="FF0000"/>
                <w:szCs w:val="24"/>
              </w:rPr>
              <w:t>Action</w:t>
            </w:r>
          </w:p>
        </w:tc>
      </w:tr>
      <w:tr w:rsidR="000A6844" w:rsidRPr="00185C0F" w14:paraId="3297D4C9" w14:textId="77777777">
        <w:tc>
          <w:tcPr>
            <w:tcW w:w="2880" w:type="dxa"/>
          </w:tcPr>
          <w:p w14:paraId="756E8E23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BC_01</w:t>
            </w:r>
          </w:p>
        </w:tc>
        <w:tc>
          <w:tcPr>
            <w:tcW w:w="2880" w:type="dxa"/>
          </w:tcPr>
          <w:p w14:paraId="2D4FCF13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USD declining + US bonds declining + VIX rising simultaneously (US is shock source)</w:t>
            </w:r>
          </w:p>
        </w:tc>
        <w:tc>
          <w:tcPr>
            <w:tcW w:w="2880" w:type="dxa"/>
          </w:tcPr>
          <w:p w14:paraId="69C7D734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Invert USD to BEARISH. Route haven flows → CHF, Gold, EUR</w:t>
            </w:r>
          </w:p>
        </w:tc>
      </w:tr>
      <w:tr w:rsidR="000A6844" w:rsidRPr="00185C0F" w14:paraId="1FC87A0E" w14:textId="77777777">
        <w:tc>
          <w:tcPr>
            <w:tcW w:w="2880" w:type="dxa"/>
          </w:tcPr>
          <w:p w14:paraId="05CAF645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BC_02</w:t>
            </w:r>
          </w:p>
        </w:tc>
        <w:tc>
          <w:tcPr>
            <w:tcW w:w="2880" w:type="dxa"/>
          </w:tcPr>
          <w:p w14:paraId="565660F9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Carry-trade unwind: cross-currency basis widening + VIX spike + high-yield crosses crashing</w:t>
            </w:r>
          </w:p>
        </w:tc>
        <w:tc>
          <w:tcPr>
            <w:tcW w:w="2880" w:type="dxa"/>
          </w:tcPr>
          <w:p w14:paraId="4AD31B3B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All technical S/R on carry pairs is INVALID. Do not fade the move. Sensitivity 1.5–3×+</w:t>
            </w:r>
          </w:p>
        </w:tc>
      </w:tr>
      <w:tr w:rsidR="000A6844" w:rsidRPr="00185C0F" w14:paraId="543B5E38" w14:textId="77777777">
        <w:tc>
          <w:tcPr>
            <w:tcW w:w="2880" w:type="dxa"/>
          </w:tcPr>
          <w:p w14:paraId="68FF39D5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BC_03</w:t>
            </w:r>
          </w:p>
        </w:tc>
        <w:tc>
          <w:tcPr>
            <w:tcW w:w="2880" w:type="dxa"/>
          </w:tcPr>
          <w:p w14:paraId="225A9CE9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Central bank direct FX intervention (BoJ rate check, SNB cap)</w:t>
            </w:r>
          </w:p>
        </w:tc>
        <w:tc>
          <w:tcPr>
            <w:tcW w:w="2880" w:type="dxa"/>
          </w:tcPr>
          <w:p w14:paraId="09426C24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Intervention overrides market-driven flows</w:t>
            </w:r>
          </w:p>
        </w:tc>
      </w:tr>
      <w:tr w:rsidR="000A6844" w:rsidRPr="00185C0F" w14:paraId="4395FF3A" w14:textId="77777777">
        <w:tc>
          <w:tcPr>
            <w:tcW w:w="2880" w:type="dxa"/>
          </w:tcPr>
          <w:p w14:paraId="049A6C94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BC_05</w:t>
            </w:r>
          </w:p>
        </w:tc>
        <w:tc>
          <w:tcPr>
            <w:tcW w:w="2880" w:type="dxa"/>
          </w:tcPr>
          <w:p w14:paraId="33442243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Geopolitical supply disruption drives oil higher despite risk-off equities. GPR rising, not EPU</w:t>
            </w:r>
          </w:p>
        </w:tc>
        <w:tc>
          <w:tcPr>
            <w:tcW w:w="2880" w:type="dxa"/>
          </w:tcPr>
          <w:p w14:paraId="57E33C88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Oil = BULLISH despite risk-off. CAD may decouple from risk-off bearish bias</w:t>
            </w:r>
          </w:p>
        </w:tc>
      </w:tr>
      <w:tr w:rsidR="000A6844" w:rsidRPr="00185C0F" w14:paraId="54E64D64" w14:textId="77777777">
        <w:tc>
          <w:tcPr>
            <w:tcW w:w="2880" w:type="dxa"/>
          </w:tcPr>
          <w:p w14:paraId="6C6D3B65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BC_06</w:t>
            </w:r>
          </w:p>
        </w:tc>
        <w:tc>
          <w:tcPr>
            <w:tcW w:w="2880" w:type="dxa"/>
          </w:tcPr>
          <w:p w14:paraId="358C7E0A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VIX &gt;50 + Gold declining + Treasury dysfunction + basis blowout (dash-for-cash)</w:t>
            </w:r>
          </w:p>
        </w:tc>
        <w:tc>
          <w:tcPr>
            <w:tcW w:w="2880" w:type="dxa"/>
          </w:tcPr>
          <w:p w14:paraId="69CC1248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ONLY USD appreciates. All other havens temporarily fail. Resolves on CB liquidity announcement</w:t>
            </w:r>
          </w:p>
        </w:tc>
      </w:tr>
      <w:tr w:rsidR="000A6844" w:rsidRPr="00185C0F" w14:paraId="0D61F47E" w14:textId="77777777">
        <w:tc>
          <w:tcPr>
            <w:tcW w:w="2880" w:type="dxa"/>
          </w:tcPr>
          <w:p w14:paraId="2233CB20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BC_07</w:t>
            </w:r>
          </w:p>
        </w:tc>
        <w:tc>
          <w:tcPr>
            <w:tcW w:w="2880" w:type="dxa"/>
          </w:tcPr>
          <w:p w14:paraId="38043D47" w14:textId="77777777" w:rsidR="000A6844" w:rsidRPr="00185C0F" w:rsidRDefault="00E74EC7">
            <w:pPr>
              <w:rPr>
                <w:szCs w:val="24"/>
              </w:rPr>
            </w:pPr>
            <w:r w:rsidRPr="00185C0F">
              <w:rPr>
                <w:szCs w:val="24"/>
              </w:rPr>
              <w:t>Safe-haven currency flat/declining + VIX &gt;25 + rate differential &gt;400bps vs counterpart</w:t>
            </w:r>
          </w:p>
        </w:tc>
        <w:tc>
          <w:tcPr>
            <w:tcW w:w="2880" w:type="dxa"/>
          </w:tcPr>
          <w:p w14:paraId="15AF9E8B" w14:textId="0EE592A1" w:rsidR="000A6844" w:rsidRPr="00185C0F" w:rsidRDefault="000C582C">
            <w:pPr>
              <w:rPr>
                <w:szCs w:val="24"/>
              </w:rPr>
            </w:pPr>
            <w:r>
              <w:t>Weaken</w:t>
            </w:r>
            <w:r w:rsidR="00E74EC7" w:rsidRPr="00185C0F">
              <w:rPr>
                <w:szCs w:val="24"/>
              </w:rPr>
              <w:t xml:space="preserve"> (do not eliminate) safe-haven bullish bias. Watch for CB shift → pent-up unwind</w:t>
            </w:r>
          </w:p>
        </w:tc>
      </w:tr>
    </w:tbl>
    <w:p w14:paraId="01ED4FE2" w14:textId="77777777" w:rsidR="000A6844" w:rsidRDefault="00E74EC7">
      <w:pPr>
        <w:pStyle w:val="Heading1"/>
      </w:pPr>
      <w:r>
        <w:t>6. Currency Directional Rules</w:t>
      </w:r>
    </w:p>
    <w:p w14:paraId="081E36DF" w14:textId="77777777" w:rsidR="000A6844" w:rsidRDefault="00E74EC7">
      <w:pPr>
        <w:pStyle w:val="Heading2"/>
      </w:pPr>
      <w:r>
        <w:t>Risk-Off (Moderate / Severe / Extreme)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6844" w:rsidRPr="00A775A7" w14:paraId="1ED01235" w14:textId="77777777">
        <w:tc>
          <w:tcPr>
            <w:tcW w:w="2880" w:type="dxa"/>
          </w:tcPr>
          <w:p w14:paraId="0A2BAB1C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b/>
                <w:sz w:val="22"/>
              </w:rPr>
              <w:t>Instrument</w:t>
            </w:r>
          </w:p>
        </w:tc>
        <w:tc>
          <w:tcPr>
            <w:tcW w:w="2880" w:type="dxa"/>
          </w:tcPr>
          <w:p w14:paraId="48500E14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b/>
                <w:sz w:val="22"/>
              </w:rPr>
              <w:t>Direction</w:t>
            </w:r>
          </w:p>
        </w:tc>
        <w:tc>
          <w:tcPr>
            <w:tcW w:w="2880" w:type="dxa"/>
          </w:tcPr>
          <w:p w14:paraId="4238F9B3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b/>
                <w:sz w:val="22"/>
              </w:rPr>
              <w:t>Condition</w:t>
            </w:r>
          </w:p>
        </w:tc>
      </w:tr>
      <w:tr w:rsidR="000A6844" w:rsidRPr="00A775A7" w14:paraId="175072D3" w14:textId="77777777">
        <w:tc>
          <w:tcPr>
            <w:tcW w:w="2880" w:type="dxa"/>
          </w:tcPr>
          <w:p w14:paraId="2F574E5A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CHF</w:t>
            </w:r>
          </w:p>
        </w:tc>
        <w:tc>
          <w:tcPr>
            <w:tcW w:w="2880" w:type="dxa"/>
          </w:tcPr>
          <w:p w14:paraId="43659708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BULLISH</w:t>
            </w:r>
          </w:p>
        </w:tc>
        <w:tc>
          <w:tcPr>
            <w:tcW w:w="2880" w:type="dxa"/>
          </w:tcPr>
          <w:p w14:paraId="2B5FDA8F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—</w:t>
            </w:r>
          </w:p>
        </w:tc>
      </w:tr>
      <w:tr w:rsidR="000A6844" w:rsidRPr="00A775A7" w14:paraId="2FD9C54C" w14:textId="77777777">
        <w:tc>
          <w:tcPr>
            <w:tcW w:w="2880" w:type="dxa"/>
          </w:tcPr>
          <w:p w14:paraId="0451B816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JPY</w:t>
            </w:r>
          </w:p>
        </w:tc>
        <w:tc>
          <w:tcPr>
            <w:tcW w:w="2880" w:type="dxa"/>
          </w:tcPr>
          <w:p w14:paraId="4E0FD6A5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⚠️ BULLISH</w:t>
            </w:r>
          </w:p>
        </w:tc>
        <w:tc>
          <w:tcPr>
            <w:tcW w:w="2880" w:type="dxa"/>
          </w:tcPr>
          <w:p w14:paraId="50AA49B0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 xml:space="preserve">Strongest in financial crises. Weak in geopolitical/policy </w:t>
            </w:r>
            <w:r w:rsidRPr="00A775A7">
              <w:rPr>
                <w:sz w:val="22"/>
              </w:rPr>
              <w:lastRenderedPageBreak/>
              <w:t>crises. If &gt;400bps against JPY → see BC_07</w:t>
            </w:r>
          </w:p>
        </w:tc>
      </w:tr>
      <w:tr w:rsidR="000A6844" w:rsidRPr="00A775A7" w14:paraId="71E45143" w14:textId="77777777">
        <w:tc>
          <w:tcPr>
            <w:tcW w:w="2880" w:type="dxa"/>
          </w:tcPr>
          <w:p w14:paraId="5072BEB6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lastRenderedPageBreak/>
              <w:t>USD</w:t>
            </w:r>
          </w:p>
        </w:tc>
        <w:tc>
          <w:tcPr>
            <w:tcW w:w="2880" w:type="dxa"/>
          </w:tcPr>
          <w:p w14:paraId="5D0B3E9B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⚠️ BULLISH</w:t>
            </w:r>
          </w:p>
        </w:tc>
        <w:tc>
          <w:tcPr>
            <w:tcW w:w="2880" w:type="dxa"/>
          </w:tcPr>
          <w:p w14:paraId="136DAF21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Non-US-originated risk-off only. If BC_01 active → BEARISH</w:t>
            </w:r>
          </w:p>
        </w:tc>
      </w:tr>
      <w:tr w:rsidR="000A6844" w:rsidRPr="00A775A7" w14:paraId="60FB29E0" w14:textId="77777777">
        <w:tc>
          <w:tcPr>
            <w:tcW w:w="2880" w:type="dxa"/>
          </w:tcPr>
          <w:p w14:paraId="5F0E7418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Gold</w:t>
            </w:r>
          </w:p>
        </w:tc>
        <w:tc>
          <w:tcPr>
            <w:tcW w:w="2880" w:type="dxa"/>
          </w:tcPr>
          <w:p w14:paraId="4888A731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⚠️ STRONGLY BULLISH</w:t>
            </w:r>
          </w:p>
        </w:tc>
        <w:tc>
          <w:tcPr>
            <w:tcW w:w="2880" w:type="dxa"/>
          </w:tcPr>
          <w:p w14:paraId="3D82E0E9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Default. If rising real yields + strong USD → MODERATELY BULLISH. If BC_01 → VERY STRONGLY BULLISH. If BC_06 → initially BEARISH then BULLISH after CB liquidity</w:t>
            </w:r>
          </w:p>
        </w:tc>
      </w:tr>
      <w:tr w:rsidR="000A6844" w:rsidRPr="00A775A7" w14:paraId="23C78E80" w14:textId="77777777">
        <w:tc>
          <w:tcPr>
            <w:tcW w:w="2880" w:type="dxa"/>
          </w:tcPr>
          <w:p w14:paraId="1E827169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AUD, NZD, CAD</w:t>
            </w:r>
          </w:p>
        </w:tc>
        <w:tc>
          <w:tcPr>
            <w:tcW w:w="2880" w:type="dxa"/>
          </w:tcPr>
          <w:p w14:paraId="0D45865D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BEARISH</w:t>
            </w:r>
          </w:p>
        </w:tc>
        <w:tc>
          <w:tcPr>
            <w:tcW w:w="2880" w:type="dxa"/>
          </w:tcPr>
          <w:p w14:paraId="3F40609F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Highest beta. Most vulnerable</w:t>
            </w:r>
          </w:p>
        </w:tc>
      </w:tr>
      <w:tr w:rsidR="000A6844" w:rsidRPr="00A775A7" w14:paraId="6001F7DA" w14:textId="77777777">
        <w:tc>
          <w:tcPr>
            <w:tcW w:w="2880" w:type="dxa"/>
          </w:tcPr>
          <w:p w14:paraId="39B29D11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GBP</w:t>
            </w:r>
          </w:p>
        </w:tc>
        <w:tc>
          <w:tcPr>
            <w:tcW w:w="2880" w:type="dxa"/>
          </w:tcPr>
          <w:p w14:paraId="1440637B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BEARISH</w:t>
            </w:r>
          </w:p>
        </w:tc>
        <w:tc>
          <w:tcPr>
            <w:tcW w:w="2880" w:type="dxa"/>
          </w:tcPr>
          <w:p w14:paraId="0535120C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Mid-beta. Worse if UK-specific</w:t>
            </w:r>
          </w:p>
        </w:tc>
      </w:tr>
      <w:tr w:rsidR="000A6844" w:rsidRPr="00A775A7" w14:paraId="52E987D9" w14:textId="77777777">
        <w:tc>
          <w:tcPr>
            <w:tcW w:w="2880" w:type="dxa"/>
          </w:tcPr>
          <w:p w14:paraId="468E4774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EUR</w:t>
            </w:r>
          </w:p>
        </w:tc>
        <w:tc>
          <w:tcPr>
            <w:tcW w:w="2880" w:type="dxa"/>
          </w:tcPr>
          <w:p w14:paraId="5B57FE23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⚠️ BEARISH</w:t>
            </w:r>
          </w:p>
        </w:tc>
        <w:tc>
          <w:tcPr>
            <w:tcW w:w="2880" w:type="dxa"/>
          </w:tcPr>
          <w:p w14:paraId="59BD6C1D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Global/non-US risk-off. Eurozone-specific → STRONGLY BEARISH. BC_01 active → BULLISH (captures USD flight)</w:t>
            </w:r>
          </w:p>
        </w:tc>
      </w:tr>
      <w:tr w:rsidR="000A6844" w:rsidRPr="00A775A7" w14:paraId="05EE1489" w14:textId="77777777">
        <w:tc>
          <w:tcPr>
            <w:tcW w:w="2880" w:type="dxa"/>
          </w:tcPr>
          <w:p w14:paraId="640D7E93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NAS100, SPX500, US30</w:t>
            </w:r>
          </w:p>
        </w:tc>
        <w:tc>
          <w:tcPr>
            <w:tcW w:w="2880" w:type="dxa"/>
          </w:tcPr>
          <w:p w14:paraId="74BDB912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BEARISH</w:t>
            </w:r>
          </w:p>
        </w:tc>
        <w:tc>
          <w:tcPr>
            <w:tcW w:w="2880" w:type="dxa"/>
          </w:tcPr>
          <w:p w14:paraId="2D71E86B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NAS100 highest beta</w:t>
            </w:r>
          </w:p>
        </w:tc>
      </w:tr>
      <w:tr w:rsidR="000A6844" w:rsidRPr="00A775A7" w14:paraId="62BB620F" w14:textId="77777777">
        <w:tc>
          <w:tcPr>
            <w:tcW w:w="2880" w:type="dxa"/>
          </w:tcPr>
          <w:p w14:paraId="19968012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Silver</w:t>
            </w:r>
          </w:p>
        </w:tc>
        <w:tc>
          <w:tcPr>
            <w:tcW w:w="2880" w:type="dxa"/>
          </w:tcPr>
          <w:p w14:paraId="3DBC0423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⚠️ BULLISH</w:t>
            </w:r>
          </w:p>
        </w:tc>
        <w:tc>
          <w:tcPr>
            <w:tcW w:w="2880" w:type="dxa"/>
          </w:tcPr>
          <w:p w14:paraId="70F78522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Hybrid asset. XAU/XAG ratio &gt;80 = precious mode; &lt;60 = industrial mode. Not a reliable haven</w:t>
            </w:r>
          </w:p>
        </w:tc>
      </w:tr>
      <w:tr w:rsidR="000A6844" w:rsidRPr="00A775A7" w14:paraId="5805CCEE" w14:textId="77777777">
        <w:tc>
          <w:tcPr>
            <w:tcW w:w="2880" w:type="dxa"/>
          </w:tcPr>
          <w:p w14:paraId="49ADCB44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Oil (WTI)</w:t>
            </w:r>
          </w:p>
        </w:tc>
        <w:tc>
          <w:tcPr>
            <w:tcW w:w="2880" w:type="dxa"/>
          </w:tcPr>
          <w:p w14:paraId="2B5BC62C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⚠️ CONDITIONAL</w:t>
            </w:r>
          </w:p>
        </w:tc>
        <w:tc>
          <w:tcPr>
            <w:tcW w:w="2880" w:type="dxa"/>
          </w:tcPr>
          <w:p w14:paraId="7ACE50FC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Demand/trade/financial shock → BEARISH. Geopolitical supply shock (GPR) → BULLISH</w:t>
            </w:r>
          </w:p>
        </w:tc>
      </w:tr>
    </w:tbl>
    <w:p w14:paraId="7193AA30" w14:textId="77777777" w:rsidR="000A6844" w:rsidRDefault="00E74EC7">
      <w:pPr>
        <w:pStyle w:val="Heading2"/>
      </w:pPr>
      <w:r>
        <w:t>Risk-On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6844" w:rsidRPr="00A775A7" w14:paraId="6EF50932" w14:textId="77777777">
        <w:tc>
          <w:tcPr>
            <w:tcW w:w="2880" w:type="dxa"/>
          </w:tcPr>
          <w:p w14:paraId="48F4EA93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b/>
                <w:sz w:val="20"/>
                <w:szCs w:val="20"/>
              </w:rPr>
              <w:t>Instrument</w:t>
            </w:r>
          </w:p>
        </w:tc>
        <w:tc>
          <w:tcPr>
            <w:tcW w:w="2880" w:type="dxa"/>
          </w:tcPr>
          <w:p w14:paraId="76D7DC0C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b/>
                <w:sz w:val="20"/>
                <w:szCs w:val="20"/>
              </w:rPr>
              <w:t>Direction</w:t>
            </w:r>
          </w:p>
        </w:tc>
        <w:tc>
          <w:tcPr>
            <w:tcW w:w="2880" w:type="dxa"/>
          </w:tcPr>
          <w:p w14:paraId="52219F9C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b/>
                <w:sz w:val="20"/>
                <w:szCs w:val="20"/>
              </w:rPr>
              <w:t>Condition</w:t>
            </w:r>
          </w:p>
        </w:tc>
      </w:tr>
      <w:tr w:rsidR="000A6844" w:rsidRPr="00A775A7" w14:paraId="68C70CFD" w14:textId="77777777">
        <w:tc>
          <w:tcPr>
            <w:tcW w:w="2880" w:type="dxa"/>
          </w:tcPr>
          <w:p w14:paraId="496EC816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AUD, NZD, CAD, GBP, EUR</w:t>
            </w:r>
          </w:p>
        </w:tc>
        <w:tc>
          <w:tcPr>
            <w:tcW w:w="2880" w:type="dxa"/>
          </w:tcPr>
          <w:p w14:paraId="39FED6D3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BULLISH</w:t>
            </w:r>
          </w:p>
        </w:tc>
        <w:tc>
          <w:tcPr>
            <w:tcW w:w="2880" w:type="dxa"/>
          </w:tcPr>
          <w:p w14:paraId="00842689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Further supported when primary export commodity trending higher</w:t>
            </w:r>
          </w:p>
        </w:tc>
      </w:tr>
      <w:tr w:rsidR="000A6844" w:rsidRPr="00A775A7" w14:paraId="226A8DDB" w14:textId="77777777">
        <w:tc>
          <w:tcPr>
            <w:tcW w:w="2880" w:type="dxa"/>
          </w:tcPr>
          <w:p w14:paraId="374A4118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NAS100, SPX500, US30</w:t>
            </w:r>
          </w:p>
        </w:tc>
        <w:tc>
          <w:tcPr>
            <w:tcW w:w="2880" w:type="dxa"/>
          </w:tcPr>
          <w:p w14:paraId="36B00C56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BULLISH</w:t>
            </w:r>
          </w:p>
        </w:tc>
        <w:tc>
          <w:tcPr>
            <w:tcW w:w="2880" w:type="dxa"/>
          </w:tcPr>
          <w:p w14:paraId="1AD6182F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—</w:t>
            </w:r>
          </w:p>
        </w:tc>
      </w:tr>
      <w:tr w:rsidR="000A6844" w:rsidRPr="00A775A7" w14:paraId="6C777691" w14:textId="77777777">
        <w:tc>
          <w:tcPr>
            <w:tcW w:w="2880" w:type="dxa"/>
          </w:tcPr>
          <w:p w14:paraId="6CD0C8AC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Silver, Oil</w:t>
            </w:r>
          </w:p>
        </w:tc>
        <w:tc>
          <w:tcPr>
            <w:tcW w:w="2880" w:type="dxa"/>
          </w:tcPr>
          <w:p w14:paraId="20AF5E94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BULLISH</w:t>
            </w:r>
          </w:p>
        </w:tc>
        <w:tc>
          <w:tcPr>
            <w:tcW w:w="2880" w:type="dxa"/>
          </w:tcPr>
          <w:p w14:paraId="02CC236B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—</w:t>
            </w:r>
          </w:p>
        </w:tc>
      </w:tr>
      <w:tr w:rsidR="000A6844" w:rsidRPr="00A775A7" w14:paraId="085772AA" w14:textId="77777777">
        <w:tc>
          <w:tcPr>
            <w:tcW w:w="2880" w:type="dxa"/>
          </w:tcPr>
          <w:p w14:paraId="3E0C8972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CHF, JPY</w:t>
            </w:r>
          </w:p>
        </w:tc>
        <w:tc>
          <w:tcPr>
            <w:tcW w:w="2880" w:type="dxa"/>
          </w:tcPr>
          <w:p w14:paraId="0201B30F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BEARISH</w:t>
            </w:r>
          </w:p>
        </w:tc>
        <w:tc>
          <w:tcPr>
            <w:tcW w:w="2880" w:type="dxa"/>
          </w:tcPr>
          <w:p w14:paraId="163EF55B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Carry re-engagement weakens both</w:t>
            </w:r>
          </w:p>
        </w:tc>
      </w:tr>
      <w:tr w:rsidR="000A6844" w:rsidRPr="00A775A7" w14:paraId="756F9E5E" w14:textId="77777777">
        <w:tc>
          <w:tcPr>
            <w:tcW w:w="2880" w:type="dxa"/>
          </w:tcPr>
          <w:p w14:paraId="1DD69CA1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USD</w:t>
            </w:r>
          </w:p>
        </w:tc>
        <w:tc>
          <w:tcPr>
            <w:tcW w:w="2880" w:type="dxa"/>
          </w:tcPr>
          <w:p w14:paraId="4D43A128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Mildly BEARISH</w:t>
            </w:r>
          </w:p>
        </w:tc>
        <w:tc>
          <w:tcPr>
            <w:tcW w:w="2880" w:type="dxa"/>
          </w:tcPr>
          <w:p w14:paraId="368A5F1D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Capital seeks yield abroad</w:t>
            </w:r>
          </w:p>
        </w:tc>
      </w:tr>
      <w:tr w:rsidR="000A6844" w:rsidRPr="00A775A7" w14:paraId="49E525D5" w14:textId="77777777">
        <w:tc>
          <w:tcPr>
            <w:tcW w:w="2880" w:type="dxa"/>
          </w:tcPr>
          <w:p w14:paraId="561B7D40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Gold</w:t>
            </w:r>
          </w:p>
        </w:tc>
        <w:tc>
          <w:tcPr>
            <w:tcW w:w="2880" w:type="dxa"/>
          </w:tcPr>
          <w:p w14:paraId="77A0D8E3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>NEUTRAL</w:t>
            </w:r>
          </w:p>
        </w:tc>
        <w:tc>
          <w:tcPr>
            <w:tcW w:w="2880" w:type="dxa"/>
          </w:tcPr>
          <w:p w14:paraId="70AD7818" w14:textId="77777777" w:rsidR="000A6844" w:rsidRPr="00A775A7" w:rsidRDefault="00E74EC7">
            <w:pPr>
              <w:rPr>
                <w:sz w:val="20"/>
                <w:szCs w:val="20"/>
              </w:rPr>
            </w:pPr>
            <w:r w:rsidRPr="00A775A7">
              <w:rPr>
                <w:sz w:val="20"/>
                <w:szCs w:val="20"/>
              </w:rPr>
              <w:t xml:space="preserve">Mildly bearish; CB buying </w:t>
            </w:r>
            <w:r w:rsidRPr="00A775A7">
              <w:rPr>
                <w:sz w:val="20"/>
                <w:szCs w:val="20"/>
              </w:rPr>
              <w:lastRenderedPageBreak/>
              <w:t>provides floor</w:t>
            </w:r>
          </w:p>
        </w:tc>
      </w:tr>
    </w:tbl>
    <w:p w14:paraId="76E9329E" w14:textId="77777777" w:rsidR="000A6844" w:rsidRDefault="00E74EC7">
      <w:pPr>
        <w:pStyle w:val="Heading2"/>
      </w:pPr>
      <w:r>
        <w:lastRenderedPageBreak/>
        <w:t>Neutral/Mixed</w:t>
      </w:r>
    </w:p>
    <w:p w14:paraId="6B47DA39" w14:textId="77777777" w:rsidR="000A6844" w:rsidRDefault="00E74EC7">
      <w:pPr>
        <w:spacing w:after="80"/>
      </w:pPr>
      <w:r>
        <w:t>No directional bias from this model. Technical protocols operate without override or filter.</w:t>
      </w:r>
    </w:p>
    <w:p w14:paraId="3E8B9C3E" w14:textId="77777777" w:rsidR="000A6844" w:rsidRDefault="00E74EC7">
      <w:pPr>
        <w:pStyle w:val="Heading1"/>
      </w:pPr>
      <w:r>
        <w:t>7. Carry Trade Rules</w:t>
      </w:r>
    </w:p>
    <w:p w14:paraId="0CF5C0C8" w14:textId="77777777" w:rsidR="000A6844" w:rsidRDefault="00E74EC7">
      <w:pPr>
        <w:spacing w:after="80"/>
      </w:pPr>
      <w:r>
        <w:t>✅ Carry enabled: VIX &lt; 18 (P18 Gate 1) + VIX futures in contango + HY OAS stable/compressing.</w:t>
      </w:r>
      <w:r>
        <w:br/>
        <w:t>❌ Carry suspended: VIX ≥ 20 (Moderate tier or above). No new carry entries. Manage existing only.</w:t>
      </w:r>
      <w:r>
        <w:br/>
        <w:t>❌ Carry force-exit: BC_02 active (carry unwind cascade) or VIX &gt; 45 (Extreme). Close carry positions.</w:t>
      </w:r>
    </w:p>
    <w:p w14:paraId="4AF16C5B" w14:textId="77777777" w:rsidR="000A6844" w:rsidRDefault="00E74EC7">
      <w:pPr>
        <w:pStyle w:val="Heading1"/>
      </w:pPr>
      <w:r>
        <w:t>8. Data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3547"/>
        <w:gridCol w:w="2660"/>
      </w:tblGrid>
      <w:tr w:rsidR="000A6844" w:rsidRPr="00A775A7" w14:paraId="4B11CA90" w14:textId="77777777">
        <w:tc>
          <w:tcPr>
            <w:tcW w:w="2880" w:type="dxa"/>
          </w:tcPr>
          <w:p w14:paraId="2AD6C5A3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b/>
                <w:sz w:val="22"/>
              </w:rPr>
              <w:t>Indicator</w:t>
            </w:r>
          </w:p>
        </w:tc>
        <w:tc>
          <w:tcPr>
            <w:tcW w:w="2880" w:type="dxa"/>
          </w:tcPr>
          <w:p w14:paraId="0C68CB3F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b/>
                <w:sz w:val="22"/>
              </w:rPr>
              <w:t>Source</w:t>
            </w:r>
          </w:p>
        </w:tc>
        <w:tc>
          <w:tcPr>
            <w:tcW w:w="2880" w:type="dxa"/>
          </w:tcPr>
          <w:p w14:paraId="2B49D8E0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b/>
                <w:sz w:val="22"/>
              </w:rPr>
              <w:t>Frequency</w:t>
            </w:r>
          </w:p>
        </w:tc>
      </w:tr>
      <w:tr w:rsidR="000A6844" w:rsidRPr="00A775A7" w14:paraId="42052733" w14:textId="77777777">
        <w:tc>
          <w:tcPr>
            <w:tcW w:w="2880" w:type="dxa"/>
          </w:tcPr>
          <w:p w14:paraId="0494D134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VIX spot</w:t>
            </w:r>
          </w:p>
        </w:tc>
        <w:tc>
          <w:tcPr>
            <w:tcW w:w="2880" w:type="dxa"/>
          </w:tcPr>
          <w:p w14:paraId="5C2A7807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TradingView / MarketWatch</w:t>
            </w:r>
          </w:p>
        </w:tc>
        <w:tc>
          <w:tcPr>
            <w:tcW w:w="2880" w:type="dxa"/>
          </w:tcPr>
          <w:p w14:paraId="644B90F6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 + intraday if spike</w:t>
            </w:r>
          </w:p>
        </w:tc>
      </w:tr>
      <w:tr w:rsidR="000A6844" w:rsidRPr="00A775A7" w14:paraId="13BCBE88" w14:textId="77777777">
        <w:tc>
          <w:tcPr>
            <w:tcW w:w="2880" w:type="dxa"/>
          </w:tcPr>
          <w:p w14:paraId="5ABDB6B4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VIX futures curve</w:t>
            </w:r>
          </w:p>
        </w:tc>
        <w:tc>
          <w:tcPr>
            <w:tcW w:w="2880" w:type="dxa"/>
          </w:tcPr>
          <w:p w14:paraId="3B16F5CD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vixcentral.com</w:t>
            </w:r>
          </w:p>
        </w:tc>
        <w:tc>
          <w:tcPr>
            <w:tcW w:w="2880" w:type="dxa"/>
          </w:tcPr>
          <w:p w14:paraId="7AE08E37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 daily</w:t>
            </w:r>
          </w:p>
        </w:tc>
      </w:tr>
      <w:tr w:rsidR="000A6844" w:rsidRPr="00A775A7" w14:paraId="4741F0E9" w14:textId="77777777">
        <w:tc>
          <w:tcPr>
            <w:tcW w:w="2880" w:type="dxa"/>
          </w:tcPr>
          <w:p w14:paraId="4AE62645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VIX/VIX3M ratio</w:t>
            </w:r>
          </w:p>
        </w:tc>
        <w:tc>
          <w:tcPr>
            <w:tcW w:w="2880" w:type="dxa"/>
          </w:tcPr>
          <w:p w14:paraId="7A570E1D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TradingView</w:t>
            </w:r>
          </w:p>
        </w:tc>
        <w:tc>
          <w:tcPr>
            <w:tcW w:w="2880" w:type="dxa"/>
          </w:tcPr>
          <w:p w14:paraId="78C561B2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 daily</w:t>
            </w:r>
          </w:p>
        </w:tc>
      </w:tr>
      <w:tr w:rsidR="000A6844" w:rsidRPr="00A775A7" w14:paraId="3F57F3D4" w14:textId="77777777">
        <w:tc>
          <w:tcPr>
            <w:tcW w:w="2880" w:type="dxa"/>
          </w:tcPr>
          <w:p w14:paraId="47C3EF3D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VVIX</w:t>
            </w:r>
          </w:p>
        </w:tc>
        <w:tc>
          <w:tcPr>
            <w:tcW w:w="2880" w:type="dxa"/>
          </w:tcPr>
          <w:p w14:paraId="42BDD3C6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TradingView</w:t>
            </w:r>
          </w:p>
        </w:tc>
        <w:tc>
          <w:tcPr>
            <w:tcW w:w="2880" w:type="dxa"/>
          </w:tcPr>
          <w:p w14:paraId="077219E4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 daily</w:t>
            </w:r>
          </w:p>
        </w:tc>
      </w:tr>
      <w:tr w:rsidR="000A6844" w:rsidRPr="00A775A7" w14:paraId="492C36F6" w14:textId="77777777">
        <w:tc>
          <w:tcPr>
            <w:tcW w:w="2880" w:type="dxa"/>
          </w:tcPr>
          <w:p w14:paraId="2C31E81B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HY OAS</w:t>
            </w:r>
          </w:p>
        </w:tc>
        <w:tc>
          <w:tcPr>
            <w:tcW w:w="2880" w:type="dxa"/>
          </w:tcPr>
          <w:p w14:paraId="11A2105B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FRED BAMLH0A0HYM2</w:t>
            </w:r>
          </w:p>
        </w:tc>
        <w:tc>
          <w:tcPr>
            <w:tcW w:w="2880" w:type="dxa"/>
          </w:tcPr>
          <w:p w14:paraId="115A1D8C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 daily</w:t>
            </w:r>
          </w:p>
        </w:tc>
      </w:tr>
      <w:tr w:rsidR="000A6844" w:rsidRPr="00A775A7" w14:paraId="2C4CE111" w14:textId="77777777">
        <w:tc>
          <w:tcPr>
            <w:tcW w:w="2880" w:type="dxa"/>
          </w:tcPr>
          <w:p w14:paraId="40455090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Cross-currency basis</w:t>
            </w:r>
          </w:p>
        </w:tc>
        <w:tc>
          <w:tcPr>
            <w:tcW w:w="2880" w:type="dxa"/>
          </w:tcPr>
          <w:p w14:paraId="3E306BF2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Bloomberg / TradingView</w:t>
            </w:r>
          </w:p>
        </w:tc>
        <w:tc>
          <w:tcPr>
            <w:tcW w:w="2880" w:type="dxa"/>
          </w:tcPr>
          <w:p w14:paraId="62A9EF44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Pre-session; intraday during stress</w:t>
            </w:r>
          </w:p>
        </w:tc>
      </w:tr>
      <w:tr w:rsidR="000A6844" w:rsidRPr="00A775A7" w14:paraId="6E9FA485" w14:textId="77777777">
        <w:tc>
          <w:tcPr>
            <w:tcW w:w="2880" w:type="dxa"/>
          </w:tcPr>
          <w:p w14:paraId="1C630918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GPR Index</w:t>
            </w:r>
          </w:p>
        </w:tc>
        <w:tc>
          <w:tcPr>
            <w:tcW w:w="2880" w:type="dxa"/>
          </w:tcPr>
          <w:p w14:paraId="1E608EE0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matteoiacoviello.com/gpr.htm</w:t>
            </w:r>
          </w:p>
        </w:tc>
        <w:tc>
          <w:tcPr>
            <w:tcW w:w="2880" w:type="dxa"/>
          </w:tcPr>
          <w:p w14:paraId="7955E0D8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Monthly; immediate on geopolitical event</w:t>
            </w:r>
          </w:p>
        </w:tc>
      </w:tr>
      <w:tr w:rsidR="000A6844" w:rsidRPr="00A775A7" w14:paraId="6D927B81" w14:textId="77777777">
        <w:tc>
          <w:tcPr>
            <w:tcW w:w="2880" w:type="dxa"/>
          </w:tcPr>
          <w:p w14:paraId="7D776B70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EPU Index</w:t>
            </w:r>
          </w:p>
        </w:tc>
        <w:tc>
          <w:tcPr>
            <w:tcW w:w="2880" w:type="dxa"/>
          </w:tcPr>
          <w:p w14:paraId="6961A1E5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policyuncertainty.com</w:t>
            </w:r>
          </w:p>
        </w:tc>
        <w:tc>
          <w:tcPr>
            <w:tcW w:w="2880" w:type="dxa"/>
          </w:tcPr>
          <w:p w14:paraId="618CB1EB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Monthly; immediate on policy event</w:t>
            </w:r>
          </w:p>
        </w:tc>
      </w:tr>
      <w:tr w:rsidR="000A6844" w:rsidRPr="00A775A7" w14:paraId="786A4DF3" w14:textId="77777777">
        <w:tc>
          <w:tcPr>
            <w:tcW w:w="2880" w:type="dxa"/>
          </w:tcPr>
          <w:p w14:paraId="2798FCB9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DXY</w:t>
            </w:r>
          </w:p>
        </w:tc>
        <w:tc>
          <w:tcPr>
            <w:tcW w:w="2880" w:type="dxa"/>
          </w:tcPr>
          <w:p w14:paraId="33241E99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TradingView</w:t>
            </w:r>
          </w:p>
        </w:tc>
        <w:tc>
          <w:tcPr>
            <w:tcW w:w="2880" w:type="dxa"/>
          </w:tcPr>
          <w:p w14:paraId="0BB6A1D0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Pre-session; intraday for BC_01 detection</w:t>
            </w:r>
          </w:p>
        </w:tc>
      </w:tr>
      <w:tr w:rsidR="000A6844" w:rsidRPr="00A775A7" w14:paraId="2EE02346" w14:textId="77777777">
        <w:tc>
          <w:tcPr>
            <w:tcW w:w="2880" w:type="dxa"/>
          </w:tcPr>
          <w:p w14:paraId="213D559F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Gold-Silver ratio</w:t>
            </w:r>
          </w:p>
        </w:tc>
        <w:tc>
          <w:tcPr>
            <w:tcW w:w="2880" w:type="dxa"/>
          </w:tcPr>
          <w:p w14:paraId="490A6F6E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TradingView (XAUUSD/XAGUSD)</w:t>
            </w:r>
          </w:p>
        </w:tc>
        <w:tc>
          <w:tcPr>
            <w:tcW w:w="2880" w:type="dxa"/>
          </w:tcPr>
          <w:p w14:paraId="3061B16B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 daily</w:t>
            </w:r>
          </w:p>
        </w:tc>
      </w:tr>
      <w:tr w:rsidR="000A6844" w:rsidRPr="00A775A7" w14:paraId="2E01D508" w14:textId="77777777">
        <w:tc>
          <w:tcPr>
            <w:tcW w:w="2880" w:type="dxa"/>
          </w:tcPr>
          <w:p w14:paraId="67B60041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Equity indices</w:t>
            </w:r>
          </w:p>
        </w:tc>
        <w:tc>
          <w:tcPr>
            <w:tcW w:w="2880" w:type="dxa"/>
          </w:tcPr>
          <w:p w14:paraId="4C34B6EC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TradingView (SPX500, NAS100)</w:t>
            </w:r>
          </w:p>
        </w:tc>
        <w:tc>
          <w:tcPr>
            <w:tcW w:w="2880" w:type="dxa"/>
          </w:tcPr>
          <w:p w14:paraId="1D5A587F" w14:textId="77777777" w:rsidR="000A6844" w:rsidRPr="00A775A7" w:rsidRDefault="00E74EC7">
            <w:pPr>
              <w:rPr>
                <w:sz w:val="22"/>
              </w:rPr>
            </w:pPr>
            <w:r w:rsidRPr="00A775A7">
              <w:rPr>
                <w:sz w:val="22"/>
              </w:rPr>
              <w:t>Pre-session + intraday</w:t>
            </w:r>
          </w:p>
        </w:tc>
      </w:tr>
    </w:tbl>
    <w:p w14:paraId="17566608" w14:textId="77777777" w:rsidR="000A6844" w:rsidRDefault="00E74EC7">
      <w:pPr>
        <w:spacing w:after="80"/>
      </w:pPr>
      <w:r>
        <w:rPr>
          <w:b/>
        </w:rPr>
        <w:t>Immediate reassessment triggers:</w:t>
      </w:r>
    </w:p>
    <w:p w14:paraId="6894F761" w14:textId="77777777" w:rsidR="000A6844" w:rsidRDefault="00E74EC7">
      <w:pPr>
        <w:spacing w:after="80"/>
      </w:pPr>
      <w:r>
        <w:t>• VIX moves &gt;3 points intraday</w:t>
      </w:r>
      <w:r>
        <w:br/>
        <w:t>• VIX futures curve inverts (backwardation)</w:t>
      </w:r>
      <w:r>
        <w:br/>
        <w:t>• HY OAS widens &gt;25 bps in a single session</w:t>
      </w:r>
      <w:r>
        <w:br/>
        <w:t>• Unscheduled central bank statement or emergency rate decision</w:t>
      </w:r>
      <w:r>
        <w:br/>
      </w:r>
      <w:r>
        <w:lastRenderedPageBreak/>
        <w:t>• Major geopolitical escalation (military action, sanctions, sovereign default threat)</w:t>
      </w:r>
    </w:p>
    <w:p w14:paraId="35E3201A" w14:textId="77777777" w:rsidR="000A6844" w:rsidRDefault="00E74EC7">
      <w:pPr>
        <w:pStyle w:val="Heading1"/>
      </w:pPr>
      <w:r>
        <w:t>9. When P19 Is Unreliable</w:t>
      </w:r>
    </w:p>
    <w:p w14:paraId="65535372" w14:textId="6DDCE662" w:rsidR="000A6844" w:rsidRDefault="00E74EC7">
      <w:pPr>
        <w:spacing w:after="80"/>
      </w:pPr>
      <w:r w:rsidRPr="004F7FD0">
        <w:rPr>
          <w:color w:val="FF0000"/>
        </w:rPr>
        <w:t>❌</w:t>
      </w:r>
      <w:r>
        <w:t xml:space="preserve"> Safe-haven currencies not moving in tandem (e.g., CHF rallying but JPY flat) for &gt;2 sessions → regime signal is noisy; reduce conviction.</w:t>
      </w:r>
      <w:r>
        <w:br/>
      </w:r>
      <w:r w:rsidRPr="004F7FD0">
        <w:rPr>
          <w:color w:val="FF0000"/>
        </w:rPr>
        <w:t>❌</w:t>
      </w:r>
      <w:r>
        <w:t xml:space="preserve"> VIX and HY OAS diverging for &gt;5 days (VIX falling but spreads widening, or vice versa) → cross-market correlations are broken; reduce conviction.</w:t>
      </w:r>
      <w:r>
        <w:br/>
      </w:r>
      <w:r w:rsidRPr="004F7FD0">
        <w:rPr>
          <w:color w:val="FF0000"/>
        </w:rPr>
        <w:t>❌</w:t>
      </w:r>
      <w:r>
        <w:t xml:space="preserve"> VIX oscillating within 2 points of a tier boundary for &gt;3 sessions without resolving → boundary regime is ambiguous; use hysteresis exit rules, do not reclassify on every bar.</w:t>
      </w:r>
      <w:r>
        <w:br/>
      </w:r>
      <w:r w:rsidRPr="004F7FD0">
        <w:rPr>
          <w:color w:val="FF0000"/>
        </w:rPr>
        <w:t>❌</w:t>
      </w:r>
      <w:r>
        <w:t xml:space="preserve"> FRED API failure (VIX/HY data unavailable) → fall back to manual GLOBAL_RISK_SENTIMENT override in engine config. Do not trade with stale regime data.</w:t>
      </w:r>
    </w:p>
    <w:p w14:paraId="4E7F3EDA" w14:textId="029B17C7" w:rsidR="002742A3" w:rsidRDefault="002742A3">
      <w:pPr>
        <w:spacing w:after="80"/>
      </w:pPr>
    </w:p>
    <w:p w14:paraId="067C6A15" w14:textId="77777777" w:rsidR="002742A3" w:rsidRPr="002742A3" w:rsidRDefault="002742A3" w:rsidP="002742A3">
      <w:pPr>
        <w:spacing w:after="80"/>
        <w:rPr>
          <w:b/>
          <w:bCs/>
          <w:lang w:val="en-KE"/>
        </w:rPr>
      </w:pPr>
      <w:r w:rsidRPr="002742A3">
        <w:rPr>
          <w:b/>
          <w:bCs/>
          <w:lang w:val="en-KE"/>
        </w:rPr>
        <w:t>10. Appendix: Informed Flow Detection (PILOT)</w:t>
      </w:r>
    </w:p>
    <w:p w14:paraId="6DFE58B4" w14:textId="77777777" w:rsidR="002742A3" w:rsidRPr="002742A3" w:rsidRDefault="002742A3" w:rsidP="002742A3">
      <w:pPr>
        <w:numPr>
          <w:ilvl w:val="0"/>
          <w:numId w:val="10"/>
        </w:numPr>
        <w:spacing w:after="80"/>
        <w:rPr>
          <w:lang w:val="en-KE"/>
        </w:rPr>
      </w:pPr>
      <w:r w:rsidRPr="002742A3">
        <w:rPr>
          <w:b/>
          <w:bCs/>
          <w:lang w:val="en-KE"/>
        </w:rPr>
        <w:t>Goal:</w:t>
      </w:r>
      <w:r w:rsidRPr="002742A3">
        <w:rPr>
          <w:lang w:val="en-KE"/>
        </w:rPr>
        <w:t xml:space="preserve"> Detect anomalous price/volume moves preceding unscheduled geopolitical events.</w:t>
      </w:r>
    </w:p>
    <w:p w14:paraId="519DF09E" w14:textId="77777777" w:rsidR="002742A3" w:rsidRPr="002742A3" w:rsidRDefault="002742A3" w:rsidP="002742A3">
      <w:pPr>
        <w:numPr>
          <w:ilvl w:val="0"/>
          <w:numId w:val="10"/>
        </w:numPr>
        <w:spacing w:after="80"/>
        <w:rPr>
          <w:lang w:val="en-KE"/>
        </w:rPr>
      </w:pPr>
      <w:r w:rsidRPr="002742A3">
        <w:rPr>
          <w:b/>
          <w:bCs/>
          <w:lang w:val="en-KE"/>
        </w:rPr>
        <w:t>Frequency:</w:t>
      </w:r>
      <w:r w:rsidRPr="002742A3">
        <w:rPr>
          <w:lang w:val="en-KE"/>
        </w:rPr>
        <w:t xml:space="preserve"> Evaluate during pre-session scans and intraday volatility spikes.</w:t>
      </w:r>
    </w:p>
    <w:p w14:paraId="3324C7B9" w14:textId="77777777" w:rsidR="002742A3" w:rsidRPr="002742A3" w:rsidRDefault="002742A3" w:rsidP="002742A3">
      <w:pPr>
        <w:numPr>
          <w:ilvl w:val="0"/>
          <w:numId w:val="10"/>
        </w:numPr>
        <w:spacing w:after="80"/>
        <w:rPr>
          <w:lang w:val="en-KE"/>
        </w:rPr>
      </w:pPr>
      <w:r w:rsidRPr="002742A3">
        <w:rPr>
          <w:b/>
          <w:bCs/>
          <w:lang w:val="en-KE"/>
        </w:rPr>
        <w:t>Trigger:</w:t>
      </w:r>
      <w:r w:rsidRPr="002742A3">
        <w:rPr>
          <w:lang w:val="en-KE"/>
        </w:rPr>
        <w:t xml:space="preserve"> 5 simultaneous conditions + intermarket confirmation (e.g., &gt;8x volume spike on 15m chart).</w:t>
      </w:r>
    </w:p>
    <w:p w14:paraId="250ED462" w14:textId="77777777" w:rsidR="002742A3" w:rsidRPr="002742A3" w:rsidRDefault="002742A3" w:rsidP="002742A3">
      <w:pPr>
        <w:numPr>
          <w:ilvl w:val="0"/>
          <w:numId w:val="10"/>
        </w:numPr>
        <w:spacing w:after="80"/>
        <w:rPr>
          <w:lang w:val="en-KE"/>
        </w:rPr>
      </w:pPr>
      <w:r w:rsidRPr="002742A3">
        <w:rPr>
          <w:b/>
          <w:bCs/>
          <w:lang w:val="en-KE"/>
        </w:rPr>
        <w:t>Risk Cap:</w:t>
      </w:r>
      <w:r w:rsidRPr="002742A3">
        <w:rPr>
          <w:lang w:val="en-KE"/>
        </w:rPr>
        <w:t xml:space="preserve"> 0.25% max per trade (Pilot phase limit).</w:t>
      </w:r>
    </w:p>
    <w:p w14:paraId="44F674B7" w14:textId="5D4A347F" w:rsidR="002742A3" w:rsidRPr="002742A3" w:rsidRDefault="002742A3" w:rsidP="002742A3">
      <w:pPr>
        <w:numPr>
          <w:ilvl w:val="0"/>
          <w:numId w:val="10"/>
        </w:numPr>
        <w:spacing w:after="80"/>
        <w:rPr>
          <w:lang w:val="en-KE"/>
        </w:rPr>
      </w:pPr>
      <w:r w:rsidRPr="002742A3">
        <w:rPr>
          <w:b/>
          <w:bCs/>
          <w:lang w:val="en-KE"/>
        </w:rPr>
        <w:t>Status:</w:t>
      </w:r>
      <w:r w:rsidRPr="002742A3">
        <w:rPr>
          <w:lang w:val="en-KE"/>
        </w:rPr>
        <w:t xml:space="preserve"> Requires 10+ documented historical cases to validate expectancy before integration into standard sizing.</w:t>
      </w:r>
      <w:r>
        <w:t>( note may need deep research to turn this into protocol rules and maybe ride a trend or fade it)</w:t>
      </w:r>
    </w:p>
    <w:p w14:paraId="12EBD3F6" w14:textId="77777777" w:rsidR="002742A3" w:rsidRDefault="002742A3">
      <w:pPr>
        <w:spacing w:after="80"/>
      </w:pPr>
    </w:p>
    <w:sectPr w:rsidR="002742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393E79"/>
    <w:multiLevelType w:val="multilevel"/>
    <w:tmpl w:val="D85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44"/>
    <w:rsid w:val="000C582C"/>
    <w:rsid w:val="0015074B"/>
    <w:rsid w:val="00185C0F"/>
    <w:rsid w:val="002742A3"/>
    <w:rsid w:val="0029639D"/>
    <w:rsid w:val="00326F90"/>
    <w:rsid w:val="004A44B4"/>
    <w:rsid w:val="004F7FD0"/>
    <w:rsid w:val="00A775A7"/>
    <w:rsid w:val="00AA1D8D"/>
    <w:rsid w:val="00B47730"/>
    <w:rsid w:val="00CB0664"/>
    <w:rsid w:val="00E74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4E777"/>
  <w14:defaultImageDpi w14:val="300"/>
  <w15:docId w15:val="{E915D66B-567A-49FE-A196-EB4BB579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C0F"/>
    <w:rPr>
      <w:rFonts w:ascii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4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4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44B4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A44B4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6</Pages>
  <Words>925</Words>
  <Characters>7094</Characters>
  <Application>Microsoft Office Word</Application>
  <DocSecurity>0</DocSecurity>
  <Lines>221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Chege</cp:lastModifiedBy>
  <cp:revision>6</cp:revision>
  <dcterms:created xsi:type="dcterms:W3CDTF">2013-12-23T23:15:00Z</dcterms:created>
  <dcterms:modified xsi:type="dcterms:W3CDTF">2026-04-25T07:45:00Z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907a0f96-d0a1-4fd4-8c3b-7204831251bf</vt:lpwstr>
  </property>
</Properties>
</file>