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b/>
          <w:bCs/>
          <w:color w:val="1F3864"/>
          <w:sz w:val="56"/>
          <w:szCs w:val="56"/>
        </w:rPr>
        <w:t xml:space="preserve">P19 Risk Sentiment Bias Model</w:t>
      </w:r>
    </w:p>
    <w:p>
      <w:pPr>
        <w:spacing w:after="120"/>
      </w:pPr>
      <w:r>
        <w:rPr>
          <w:color w:val="2E75B6"/>
          <w:sz w:val="36"/>
          <w:szCs w:val="36"/>
        </w:rPr>
        <w:t xml:space="preserve">Study Guide — Plain Language Edition</w:t>
      </w:r>
    </w:p>
    <w:p>
      <w:pPr>
        <w:spacing w:after="40"/>
      </w:pPr>
      <w:r>
        <w:rPr>
          <w:color w:val="888888"/>
          <w:sz w:val="20"/>
          <w:szCs w:val="20"/>
        </w:rPr>
        <w:t xml:space="preserve">v2.0 | Project Playbook Gauntlet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60"/>
            </w:pPr>
            <w:r>
              <w:rPr>
                <w:i w:val="false"/>
                <w:iCs w:val="false"/>
              </w:rPr>
              <w:t xml:space="preserve">PURPOSE: This guide explains WHY each P19 rule exists.</w:t>
            </w:r>
          </w:p>
          <w:p>
            <w:pPr>
              <w:spacing w:after="60"/>
            </w:pPr>
            <w:r>
              <w:rPr>
                <w:i w:val="false"/>
                <w:iCs w:val="false"/>
              </w:rPr>
              <w:t xml:space="preserve">The Field Manual tells you WHAT to do. This tells you the reasoning behind it.</w:t>
            </w:r>
          </w:p>
          <w:p>
            <w:pPr>
              <w:spacing w:after="60"/>
            </w:pPr>
            <w:r>
              <w:rPr>
                <w:i w:val="false"/>
                <w:iCs w:val="false"/>
              </w:rPr>
              <w:t xml:space="preserve">Read this to build intuition. Trade using the Field Manual.</w:t>
            </w:r>
          </w:p>
        </w:tc>
      </w:tr>
    </w:tbl>
    <w:p>
      <w:pPr>
        <w:spacing w:after="40"/>
      </w:pPr>
      <w:r>
        <w:t xml:space="preserve"/>
      </w:r>
    </w:p>
    <w:p>
      <w:pPr>
        <w:pBdr>
          <w:bottom w:val="single" w:color="CCCCCC" w:sz="6" w:space="1"/>
        </w:pBdr>
        <w:spacing w:after="200" w:before="200"/>
      </w:pPr>
      <w:r>
        <w:t xml:space="preserve"/>
      </w:r>
    </w:p>
    <w:p>
      <w:pPr>
        <w:pStyle w:val="Heading1"/>
      </w:pPr>
      <w:r>
        <w:t xml:space="preserve">1. Why P19 Exists (Risk Sentiment as a Force)</w:t>
      </w:r>
    </w:p>
    <w:p>
      <w:pPr>
        <w:spacing w:after="120"/>
      </w:pPr>
      <w:r>
        <w:t xml:space="preserve">Interest rate differentials (P18) drive most day-to-day FX moves. But during stress, capital flows break from yield logic entirely.</w:t>
      </w:r>
    </w:p>
    <w:p>
      <w:pPr>
        <w:spacing w:after="120"/>
      </w:pPr>
      <w:r>
        <w:t xml:space="preserve">During a crisis, money moves based on safety, liquidity, and institutional funding pressure — not which currency pays more. P19 captures this separate force.</w:t>
      </w:r>
    </w:p>
    <w:p>
      <w:pPr>
        <w:spacing w:after="40"/>
      </w:pPr>
      <w:r>
        <w:t xml:space="preserve"/>
      </w:r>
    </w:p>
    <w:p>
      <w:pPr>
        <w:pStyle w:val="Heading2"/>
      </w:pPr>
      <w:r>
        <w:t xml:space="preserve">The Core Mechanism: NBFIs</w:t>
      </w:r>
    </w:p>
    <w:p>
      <w:pPr>
        <w:spacing w:after="120"/>
      </w:pPr>
      <w:r>
        <w:t xml:space="preserve">Non-Bank Financial Institutions (NBFIs — hedge funds, pension funds, insurers) are the key actors. Here is what they do and why it matters:</w:t>
      </w:r>
    </w:p>
    <w:p>
      <w:pPr>
        <w:pStyle w:val="ListParagraph"/>
        <w:numPr>
          <w:ilvl w:val="0"/>
          <w:numId w:val="2"/>
        </w:numPr>
        <w:spacing w:after="80"/>
      </w:pPr>
      <w:r>
        <w:t xml:space="preserve">NBFIs fund long-term, high-yield assets using short-term debt.</w:t>
      </w:r>
    </w:p>
    <w:p>
      <w:pPr>
        <w:pStyle w:val="ListParagraph"/>
        <w:numPr>
          <w:ilvl w:val="0"/>
          <w:numId w:val="2"/>
        </w:numPr>
        <w:spacing w:after="80"/>
      </w:pPr>
      <w:r>
        <w:t xml:space="preserve">This creates currency mismatches — they owe one currency but hold another.</w:t>
      </w:r>
    </w:p>
    <w:p>
      <w:pPr>
        <w:pStyle w:val="ListParagraph"/>
        <w:numPr>
          <w:ilvl w:val="0"/>
          <w:numId w:val="2"/>
        </w:numPr>
        <w:spacing w:after="80"/>
      </w:pPr>
      <w:r>
        <w:t xml:space="preserve">When uncertainty hits, FX swap costs spike. Cross-currency basis widens. (Cross-currency basis = the premium paid to swap one currency for another via derivatives.)</w:t>
      </w:r>
    </w:p>
    <w:p>
      <w:pPr>
        <w:pStyle w:val="ListParagraph"/>
        <w:numPr>
          <w:ilvl w:val="0"/>
          <w:numId w:val="2"/>
        </w:numPr>
        <w:spacing w:after="80"/>
      </w:pPr>
      <w:r>
        <w:t xml:space="preserve">NBFIs cannot roll over their hedges. Forced liquidations follow.</w:t>
      </w:r>
    </w:p>
    <w:p>
      <w:pPr>
        <w:pStyle w:val="ListParagraph"/>
        <w:numPr>
          <w:ilvl w:val="0"/>
          <w:numId w:val="2"/>
        </w:numPr>
        <w:spacing w:after="80"/>
      </w:pPr>
      <w:r>
        <w:t xml:space="preserve">These cascades are measurable. They are NOT just “fear.”</w:t>
      </w:r>
    </w:p>
    <w:p>
      <w:pPr>
        <w:spacing w:after="40"/>
      </w:pPr>
      <w:r>
        <w:t xml:space="preserve"/>
      </w:r>
    </w:p>
    <w:p>
      <w:pPr>
        <w:pBdr>
          <w:left w:val="single" w:color="2E75B6" w:sz="12" w:space="6"/>
        </w:pBdr>
        <w:spacing w:after="120"/>
        <w:ind w:left="360"/>
      </w:pPr>
      <w:r>
        <w:rPr>
          <w:b/>
          <w:bCs/>
        </w:rPr>
        <w:t xml:space="preserve">Key stat: </w:t>
      </w:r>
      <w:r>
        <w:t xml:space="preserve">BIS 2025: 59% of FX trading is now electronic. Dealer banks internalize &gt;80% of customer flow. Risk-off repricing happens in minutes, not days.</w:t>
      </w:r>
    </w:p>
    <w:p>
      <w:pPr>
        <w:spacing w:after="40"/>
      </w:pPr>
      <w:r>
        <w:t xml:space="preserve"/>
      </w:r>
    </w:p>
    <w:p>
      <w:pPr>
        <w:spacing w:after="120"/>
      </w:pPr>
      <w:r>
        <w:t xml:space="preserve">P19 exists to stop you from buying into algorithmic liquidation cascades with your technical protocols.</w:t>
      </w:r>
    </w:p>
    <w:p>
      <w:pPr>
        <w:pBdr>
          <w:bottom w:val="single" w:color="CCCCCC" w:sz="6" w:space="1"/>
        </w:pBdr>
        <w:spacing w:after="200" w:before="200"/>
      </w:pPr>
      <w:r>
        <w:t xml:space="preserve"/>
      </w:r>
    </w:p>
    <w:p>
      <w:pPr>
        <w:pStyle w:val="Heading1"/>
      </w:pPr>
      <w:r>
        <w:t xml:space="preserve">2. The 5-Tier VIX System — Why These Numbers</w:t>
      </w:r>
    </w:p>
    <w:p>
      <w:pPr>
        <w:pStyle w:val="Heading2"/>
      </w:pPr>
      <w:r>
        <w:t xml:space="preserve">Why VIX Is the Primary Classifier</w:t>
      </w:r>
    </w:p>
    <w:p>
      <w:pPr>
        <w:spacing w:after="120"/>
      </w:pPr>
      <w:r>
        <w:t xml:space="preserve">Academic research overwhelmingly supports VIX as the best real-time risk proxy. One key study (RegimeFolio 2024) tested VIX-based regime classification across 34 US equities (2020–2024). Results:</w:t>
      </w:r>
    </w:p>
    <w:p>
      <w:pPr>
        <w:pStyle w:val="ListParagraph"/>
        <w:numPr>
          <w:ilvl w:val="0"/>
          <w:numId w:val="2"/>
        </w:numPr>
        <w:spacing w:after="80"/>
      </w:pPr>
      <w:r>
        <w:t xml:space="preserve">Up to 20% lower forecast error vs no-regime baseline.</w:t>
      </w:r>
    </w:p>
    <w:p>
      <w:pPr>
        <w:pStyle w:val="ListParagraph"/>
        <w:numPr>
          <w:ilvl w:val="0"/>
          <w:numId w:val="2"/>
        </w:numPr>
        <w:spacing w:after="80"/>
      </w:pPr>
      <w:r>
        <w:t xml:space="preserve">Sharpe ratio improvements exceeding 0.5.</w:t>
      </w:r>
    </w:p>
    <w:p>
      <w:pPr>
        <w:spacing w:after="120"/>
      </w:pPr>
      <w:r>
        <w:t xml:space="preserve">Every major institutional risk index — Goldman FCI, Chicago Fed NFCI, ECB CISS — uses VIX as a core input.</w:t>
      </w:r>
    </w:p>
    <w:p>
      <w:pPr>
        <w:spacing w:after="40"/>
      </w:pPr>
      <w:r>
        <w:t xml:space="preserve"/>
      </w:r>
    </w:p>
    <w:p>
      <w:pPr>
        <w:pStyle w:val="Heading2"/>
      </w:pPr>
      <w:r>
        <w:t xml:space="preserve">Why VIX Alone Is Not Enough</w:t>
      </w:r>
    </w:p>
    <w:p>
      <w:pPr>
        <w:spacing w:after="120"/>
      </w:pPr>
      <w:r>
        <w:t xml:space="preserve">VIX is US-stock-market-specific. It misses geopolitical risk, trade policy uncertainty, and regional crises. So P19 uses a primary-plus-modifiers design: VIX sets the tier, secondary indicators adjust conviction.</w:t>
      </w:r>
    </w:p>
    <w:p>
      <w:pPr>
        <w:spacing w:after="40"/>
      </w:pPr>
      <w:r>
        <w:t xml:space="preserve"/>
      </w:r>
    </w:p>
    <w:p>
      <w:pPr>
        <w:pStyle w:val="Heading2"/>
      </w:pPr>
      <w:r>
        <w:t xml:space="preserve">Why Not Just Use Conjunctive Triggers?</w:t>
      </w:r>
    </w:p>
    <w:p>
      <w:pPr>
        <w:spacing w:after="120"/>
      </w:pPr>
      <w:r>
        <w:t xml:space="preserve">Version 1 used conjunctive triggers (e.g., “VIX &gt;40 OR curve inverted OR HY blowing out + VIX &gt;30”). The problem:</w:t>
      </w:r>
    </w:p>
    <w:p>
      <w:pPr>
        <w:pStyle w:val="ListParagraph"/>
        <w:numPr>
          <w:ilvl w:val="0"/>
          <w:numId w:val="2"/>
        </w:numPr>
        <w:spacing w:after="80"/>
      </w:pPr>
      <w:r>
        <w:t xml:space="preserve">With three binary indicators, only 2 of 8 possible states are “fully aligned.”</w:t>
      </w:r>
    </w:p>
    <w:p>
      <w:pPr>
        <w:pStyle w:val="ListParagraph"/>
        <w:numPr>
          <w:ilvl w:val="0"/>
          <w:numId w:val="2"/>
        </w:numPr>
        <w:spacing w:after="80"/>
      </w:pPr>
      <w:r>
        <w:t xml:space="preserve">That leaves 75% of trading days unclassified — the unmapped-state problem.</w:t>
      </w:r>
    </w:p>
    <w:p>
      <w:pPr>
        <w:spacing w:after="120"/>
      </w:pPr>
      <w:r>
        <w:t xml:space="preserve">The Bank of Canada (2005) compared 11 risk-appetite indexes. Key finding: risk indicators are frequently unrelated or even negatively correlated. Only one crisis (Russia 1998) produced unanimous agreement across all measures.</w:t>
      </w:r>
    </w:p>
    <w:p>
      <w:pPr>
        <w:spacing w:after="120"/>
      </w:pPr>
      <w:r>
        <w:t xml:space="preserve">Institutional composites use weighted-sum design instead. The ECB CISS uses portfolio math that amplifies when multiple segments stress simultaneously. This captures the logic of conjunctive triggers while always producing a valid classification.</w:t>
      </w:r>
    </w:p>
    <w:p>
      <w:pPr>
        <w:spacing w:after="40"/>
      </w:pPr>
      <w:r>
        <w:t xml:space="preserve"/>
      </w:r>
    </w:p>
    <w:p>
      <w:pPr>
        <w:pStyle w:val="Heading2"/>
      </w:pPr>
      <w:r>
        <w:t xml:space="preserve">Why These Specific Tier Boundaries?</w:t>
      </w:r>
    </w:p>
    <w:p>
      <w:pPr>
        <w:spacing w:after="120"/>
      </w:pPr>
      <w:r>
        <w:t xml:space="preserve">No published paper proves fixed VIX thresholds are optimal. The common 20/30/40 levels are practitioner rules, not calibrated constants.</w:t>
      </w:r>
    </w:p>
    <w:p>
      <w:pPr>
        <w:spacing w:after="120"/>
      </w:pPr>
      <w:r>
        <w:t xml:space="preserve">P19 v2.0 boundaries are engineering choices derived from inverse-volatility position sizing math. Using a VIX 15 baseline (scale = 15 ÷ current VIX):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VIX Level</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Position Size</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Tier</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Why Different?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VIX 25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~60% notional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Moderate Risk-Off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Meaningful reduction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VIX 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~43% notional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Severe Risk-Off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Crisis transition zone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VIX 45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~33% notional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Extreme Risk-Off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Genuine crisis territory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VIX 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notional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Extreme Risk-Off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Near full shutdown</w:t>
            </w:r>
          </w:p>
        </w:tc>
      </w:tr>
    </w:tbl>
    <w:p>
      <w:pPr>
        <w:spacing w:after="40"/>
      </w:pPr>
      <w:r>
        <w:t xml:space="preserve"/>
      </w:r>
    </w:p>
    <w:p>
      <w:pPr>
        <w:pBdr>
          <w:left w:val="single" w:color="2E75B6" w:sz="12" w:space="6"/>
        </w:pBdr>
        <w:spacing w:after="120"/>
        <w:ind w:left="360"/>
      </w:pPr>
      <w:r>
        <w:rPr>
          <w:b/>
          <w:bCs/>
        </w:rPr>
        <w:t xml:space="preserve">Why 45, not 40?: </w:t>
      </w:r>
      <w:r>
        <w:t xml:space="preserve">Fed stress test design uses “severely adverse” scenarios peaking at VIX 65–75. Post-crisis plateaus settle at ~28–32. VIX 30–45 = recovery from severe stress. Above 45 = genuine crisis. The engine currently uses 40. Update to 45 is pending.</w:t>
      </w:r>
    </w:p>
    <w:p>
      <w:pPr>
        <w:spacing w:after="40"/>
      </w:pPr>
      <w:r>
        <w:t xml:space="preserve"/>
      </w:r>
    </w:p>
    <w:p>
      <w:pPr>
        <w:pStyle w:val="Heading2"/>
      </w:pPr>
      <w:r>
        <w:t xml:space="preserve">Why SEVERE (VIX 30–45) Is a Separate Tier</w:t>
      </w:r>
    </w:p>
    <w:p>
      <w:pPr>
        <w:spacing w:after="120"/>
      </w:pPr>
      <w:r>
        <w:t xml:space="preserve">No paper proves distinct rules for VIX 30–40 are optimal. The dominant academic approach uses continuous volatility scaling, not steps.</w:t>
      </w:r>
    </w:p>
    <w:p>
      <w:pPr>
        <w:spacing w:after="120"/>
      </w:pPr>
      <w:r>
        <w:t xml:space="preserve">So why include SEVERE? Because a mechanical system needs discrete rules. VIX 22 and VIX 38 are qualitatively different. One paper (Bongaerts et al. 2020) showed that conditional volatility targeting — adjusting only during extremes — improved Sharpe ratios across all 10 global equity markets tested. Continuous scaling failed in 2 of 10 and increased max drawdown in 4.</w:t>
      </w:r>
    </w:p>
    <w:p>
      <w:pPr>
        <w:spacing w:after="120"/>
      </w:pPr>
      <w:r>
        <w:t xml:space="preserve">SEVERE captures the carry-unwind transition zone: crisis is forming but has not fully arrived. The 0.25–0.40× multiplier comes from the scaling formula, not from empirical calibration for this specific band.</w:t>
      </w:r>
    </w:p>
    <w:p>
      <w:pPr>
        <w:pBdr>
          <w:left w:val="single" w:color="2E75B6" w:sz="12" w:space="6"/>
        </w:pBdr>
        <w:spacing w:after="120"/>
        <w:ind w:left="360"/>
      </w:pPr>
      <w:r>
        <w:rPr>
          <w:b/>
          <w:bCs/>
        </w:rPr>
        <w:t xml:space="preserve">Pending: </w:t>
      </w:r>
      <w:r>
        <w:t xml:space="preserve">The Phase 6.4 backtest grid {125, 200, 300} will provide the first empirical validation of the SEVERE tier rules.</w:t>
      </w:r>
    </w:p>
    <w:p>
      <w:pPr>
        <w:pBdr>
          <w:bottom w:val="single" w:color="CCCCCC" w:sz="6" w:space="1"/>
        </w:pBdr>
        <w:spacing w:after="200" w:before="200"/>
      </w:pPr>
      <w:r>
        <w:t xml:space="preserve"/>
      </w:r>
    </w:p>
    <w:p>
      <w:pPr>
        <w:pStyle w:val="Heading1"/>
      </w:pPr>
      <w:r>
        <w:t xml:space="preserve">3. Asymmetric Hysteresis — Enter Fast, Exit Slow</w:t>
      </w:r>
    </w:p>
    <w:p>
      <w:pPr>
        <w:spacing w:after="120"/>
      </w:pPr>
      <w:r>
        <w:t xml:space="preserve">Volatility rises fast and falls slowly. This is the Black (1976) leverage effect, confirmed by multiple studies. One 2025 study states directly: “transitions to high-volatility regimes are typically abrupt and crisis-driven, while reversions to lower-volatility states are gradual and prolonged.”</w:t>
      </w:r>
    </w:p>
    <w:p>
      <w:pPr>
        <w:spacing w:after="120"/>
      </w:pPr>
      <w:r>
        <w:t xml:space="preserve">This fact drives the hysteresis design (hysteresis = different thresholds for entering vs. exiting a state):</w:t>
      </w:r>
    </w:p>
    <w:p>
      <w:pPr>
        <w:spacing w:after="40"/>
      </w:pPr>
      <w:r>
        <w:t xml:space="preserve"/>
      </w:r>
    </w:p>
    <w:p>
      <w:pPr>
        <w:pStyle w:val="Heading2"/>
      </w:pPr>
      <w:r>
        <w:t xml:space="preserve">Entry: Act Immediately</w:t>
      </w:r>
    </w:p>
    <w:p>
      <w:pPr>
        <w:pStyle w:val="ListParagraph"/>
        <w:numPr>
          <w:ilvl w:val="0"/>
          <w:numId w:val="2"/>
        </w:numPr>
        <w:spacing w:after="80"/>
      </w:pPr>
      <w:r>
        <w:t xml:space="preserve">Single-bar VIX threshold crosses produce ~25–30% false signals.</w:t>
      </w:r>
    </w:p>
    <w:p>
      <w:pPr>
        <w:pStyle w:val="ListParagraph"/>
        <w:numPr>
          <w:ilvl w:val="0"/>
          <w:numId w:val="2"/>
        </w:numPr>
        <w:spacing w:after="80"/>
      </w:pPr>
      <w:r>
        <w:t xml:space="preserve">HMM-based multi-factor methods (Hidden Markov Models) cut this to 8–12%.</w:t>
      </w:r>
    </w:p>
    <w:p>
      <w:pPr>
        <w:pStyle w:val="ListParagraph"/>
        <w:numPr>
          <w:ilvl w:val="0"/>
          <w:numId w:val="2"/>
        </w:numPr>
        <w:spacing w:after="80"/>
      </w:pPr>
      <w:r>
        <w:t xml:space="preserve">VIX/VIX3M ratio crossing above 1.0 for 2 consecutive days reduces false positives to ~18–22% on its own.</w:t>
      </w:r>
    </w:p>
    <w:p>
      <w:pPr>
        <w:pStyle w:val="ListParagraph"/>
        <w:numPr>
          <w:ilvl w:val="0"/>
          <w:numId w:val="2"/>
        </w:numPr>
        <w:spacing w:after="80"/>
      </w:pPr>
      <w:r>
        <w:t xml:space="preserve">P19 uses 2 consecutive days above a threshold before upgrading the regime tier.</w:t>
      </w:r>
    </w:p>
    <w:p>
      <w:pPr>
        <w:spacing w:after="40"/>
      </w:pPr>
      <w:r>
        <w:t xml:space="preserve"/>
      </w:r>
    </w:p>
    <w:p>
      <w:pPr>
        <w:pStyle w:val="Heading2"/>
      </w:pPr>
      <w:r>
        <w:t xml:space="preserve">Exit: Wait for Confirmation</w:t>
      </w:r>
    </w:p>
    <w:p>
      <w:pPr>
        <w:spacing w:after="120"/>
      </w:pPr>
      <w:r>
        <w:t xml:space="preserve">Markov persistence probabilities show: low-vol stays low 98.5% of the time, high-vol stays high 98.9% of the time. Average crisis regime duration is 91 months.</w:t>
      </w:r>
    </w:p>
    <w:p>
      <w:pPr>
        <w:spacing w:after="120"/>
      </w:pPr>
      <w:r>
        <w:t xml:space="preserve">Statistical research finds the optimal regime detection window is ~25 calendar days (~18 trading days). P19 uses 3 trading days — aggressively fast, chosen as a practical safety-vs-responsiveness compromise.</w:t>
      </w:r>
    </w:p>
    <w:p>
      <w:pPr>
        <w:spacing w:after="40"/>
      </w:pPr>
      <w:r>
        <w:t xml:space="preserve"/>
      </w:r>
    </w:p>
    <w:p>
      <w:pPr>
        <w:pStyle w:val="Heading2"/>
      </w:pPr>
      <w:r>
        <w:t xml:space="preserve">The 5-Point Hysteresis Band</w:t>
      </w:r>
    </w:p>
    <w:p>
      <w:pPr>
        <w:spacing w:after="120"/>
      </w:pPr>
      <w:r>
        <w:t xml:space="preserve">Example: Enter SEVERE at VIX 30. Exit SEVERE only when VIX drops below 25.</w:t>
      </w:r>
    </w:p>
    <w:p>
      <w:pPr>
        <w:spacing w:after="120"/>
      </w:pPr>
      <w:r>
        <w:t xml:space="preserve">This prevents the regime from flickering near a boundary when VIX oscillates daily. The 5-point band matches daily VIX noise levels. This is the same “Schmitt trigger” approach used in electrical signal processing.</w:t>
      </w:r>
    </w:p>
    <w:p>
      <w:pPr>
        <w:pBdr>
          <w:bottom w:val="single" w:color="CCCCCC" w:sz="6" w:space="1"/>
        </w:pBdr>
        <w:spacing w:after="200" w:before="200"/>
      </w:pPr>
      <w:r>
        <w:t xml:space="preserve"/>
      </w:r>
    </w:p>
    <w:p>
      <w:pPr>
        <w:pStyle w:val="Heading1"/>
      </w:pPr>
      <w:r>
        <w:t xml:space="preserve">4. Regime Aging — Why Shock Type Matters</w:t>
      </w:r>
    </w:p>
    <w:p>
      <w:pPr>
        <w:spacing w:after="120"/>
      </w:pPr>
      <w:r>
        <w:t xml:space="preserve">GARCH(1,1) math shows that a typical volatility shock has a half-life of ~23 trading days (S&amp;P 500 estimates, Kinlay 2026). At that decay rate:</w:t>
      </w:r>
    </w:p>
    <w:p>
      <w:pPr>
        <w:pStyle w:val="ListParagraph"/>
        <w:numPr>
          <w:ilvl w:val="0"/>
          <w:numId w:val="2"/>
        </w:numPr>
        <w:spacing w:after="80"/>
      </w:pPr>
      <w:r>
        <w:t xml:space="preserve">~9% of a shock dissipates by Day 3</w:t>
      </w:r>
    </w:p>
    <w:p>
      <w:pPr>
        <w:pStyle w:val="ListParagraph"/>
        <w:numPr>
          <w:ilvl w:val="0"/>
          <w:numId w:val="2"/>
        </w:numPr>
        <w:spacing w:after="80"/>
      </w:pPr>
      <w:r>
        <w:t xml:space="preserve">~26% by Day 10</w:t>
      </w:r>
    </w:p>
    <w:p>
      <w:pPr>
        <w:pStyle w:val="ListParagraph"/>
        <w:numPr>
          <w:ilvl w:val="0"/>
          <w:numId w:val="2"/>
        </w:numPr>
        <w:spacing w:after="80"/>
      </w:pPr>
      <w:r>
        <w:t xml:space="preserve">~50% by Day 23</w:t>
      </w:r>
    </w:p>
    <w:p>
      <w:pPr>
        <w:spacing w:after="120"/>
      </w:pPr>
      <w:r>
        <w:t xml:space="preserve">Day 10 is where the regime’s grip first begins loosening. This is the P19 “Acute” schedule boundary.</w:t>
      </w:r>
    </w:p>
    <w:p>
      <w:pPr>
        <w:spacing w:after="120"/>
      </w:pPr>
      <w:r>
        <w:t xml:space="preserve">But that math assumes a single isolated shock. Systemic crises are fundamentally different.</w:t>
      </w:r>
    </w:p>
    <w:p>
      <w:pPr>
        <w:spacing w:after="40"/>
      </w:pPr>
      <w:r>
        <w:t xml:space="preserve"/>
      </w:r>
    </w:p>
    <w:p>
      <w:pPr>
        <w:pStyle w:val="Heading2"/>
      </w:pPr>
      <w:r>
        <w:t xml:space="preserve">Historical Evidence: Same VIX, Different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800"/>
        <w:gridCol w:w="1800"/>
        <w:gridCol w:w="2000"/>
      </w:tblGrid>
      <w:tr>
        <w:trPr>
          <w:tblHeader/>
        </w:trPr>
        <w:tc>
          <w:tcPr>
            <w:tcBorders>
              <w:top w:val="single" w:color="FFFFFF" w:sz="1"/>
              <w:left w:val="single" w:color="FFFFFF" w:sz="1"/>
              <w:bottom w:val="single" w:color="FFFFFF" w:sz="1"/>
              <w:right w:val="single" w:color="FFFFFF" w:sz="1"/>
            </w:tcBorders>
            <w:shd w:fill="1F3864" w:val="clear"/>
            <w:tcMar>
              <w:top w:type="dxa" w:w="80"/>
              <w:left w:type="dxa" w:w="100"/>
              <w:bottom w:type="dxa" w:w="80"/>
              <w:right w:type="dxa" w:w="100"/>
            </w:tcMar>
          </w:tcPr>
          <w:p>
            <w:r>
              <w:rPr>
                <w:b/>
                <w:bCs/>
                <w:color w:val="FFFFFF"/>
                <w:sz w:val="18"/>
                <w:szCs w:val="18"/>
              </w:rPr>
              <w:t xml:space="preserve">Event</w:t>
            </w:r>
          </w:p>
        </w:tc>
        <w:tc>
          <w:tcPr>
            <w:tcBorders>
              <w:top w:val="single" w:color="FFFFFF" w:sz="1"/>
              <w:left w:val="single" w:color="FFFFFF" w:sz="1"/>
              <w:bottom w:val="single" w:color="FFFFFF" w:sz="1"/>
              <w:right w:val="single" w:color="FFFFFF" w:sz="1"/>
            </w:tcBorders>
            <w:shd w:fill="1F3864" w:val="clear"/>
            <w:tcMar>
              <w:top w:type="dxa" w:w="80"/>
              <w:left w:type="dxa" w:w="100"/>
              <w:bottom w:type="dxa" w:w="80"/>
              <w:right w:type="dxa" w:w="100"/>
            </w:tcMar>
          </w:tcPr>
          <w:p>
            <w:r>
              <w:rPr>
                <w:b/>
                <w:bCs/>
                <w:color w:val="FFFFFF"/>
                <w:sz w:val="18"/>
                <w:szCs w:val="18"/>
              </w:rPr>
              <w:t xml:space="preserve">VIX Peak</w:t>
            </w:r>
          </w:p>
        </w:tc>
        <w:tc>
          <w:tcPr>
            <w:tcBorders>
              <w:top w:val="single" w:color="FFFFFF" w:sz="1"/>
              <w:left w:val="single" w:color="FFFFFF" w:sz="1"/>
              <w:bottom w:val="single" w:color="FFFFFF" w:sz="1"/>
              <w:right w:val="single" w:color="FFFFFF" w:sz="1"/>
            </w:tcBorders>
            <w:shd w:fill="1F3864" w:val="clear"/>
            <w:tcMar>
              <w:top w:type="dxa" w:w="80"/>
              <w:left w:type="dxa" w:w="100"/>
              <w:bottom w:type="dxa" w:w="80"/>
              <w:right w:type="dxa" w:w="100"/>
            </w:tcMar>
          </w:tcPr>
          <w:p>
            <w:r>
              <w:rPr>
                <w:b/>
                <w:bCs/>
                <w:color w:val="FFFFFF"/>
                <w:sz w:val="18"/>
                <w:szCs w:val="18"/>
              </w:rPr>
              <w:t xml:space="preserve">Days above 30</w:t>
            </w:r>
          </w:p>
        </w:tc>
        <w:tc>
          <w:tcPr>
            <w:tcBorders>
              <w:top w:val="single" w:color="FFFFFF" w:sz="1"/>
              <w:left w:val="single" w:color="FFFFFF" w:sz="1"/>
              <w:bottom w:val="single" w:color="FFFFFF" w:sz="1"/>
              <w:right w:val="single" w:color="FFFFFF" w:sz="1"/>
            </w:tcBorders>
            <w:shd w:fill="1F3864" w:val="clear"/>
            <w:tcMar>
              <w:top w:type="dxa" w:w="80"/>
              <w:left w:type="dxa" w:w="100"/>
              <w:bottom w:type="dxa" w:w="80"/>
              <w:right w:type="dxa" w:w="100"/>
            </w:tcMar>
          </w:tcPr>
          <w:p>
            <w:r>
              <w:rPr>
                <w:b/>
                <w:bCs/>
                <w:color w:val="FFFFFF"/>
                <w:sz w:val="18"/>
                <w:szCs w:val="18"/>
              </w:rPr>
              <w:t xml:space="preserve">Return to &lt;20</w:t>
            </w:r>
          </w:p>
        </w:tc>
        <w:tc>
          <w:tcPr>
            <w:tcBorders>
              <w:top w:val="single" w:color="FFFFFF" w:sz="1"/>
              <w:left w:val="single" w:color="FFFFFF" w:sz="1"/>
              <w:bottom w:val="single" w:color="FFFFFF" w:sz="1"/>
              <w:right w:val="single" w:color="FFFFFF" w:sz="1"/>
            </w:tcBorders>
            <w:shd w:fill="1F3864" w:val="clear"/>
            <w:tcMar>
              <w:top w:type="dxa" w:w="80"/>
              <w:left w:type="dxa" w:w="100"/>
              <w:bottom w:type="dxa" w:w="80"/>
              <w:right w:type="dxa" w:w="100"/>
            </w:tcMar>
          </w:tcPr>
          <w:p>
            <w:r>
              <w:rPr>
                <w:b/>
                <w:bCs/>
                <w:color w:val="FFFFFF"/>
                <w:sz w:val="18"/>
                <w:szCs w:val="18"/>
              </w:rPr>
              <w:t xml:space="preserve">Correct Schedule</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2008 GFC</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80.86</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~120 days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~340 days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Systemic</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2020 COVID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82.69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~55-60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~160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Systemic</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2018 Volmageddon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&lt;35</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~5 days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&lt;10 days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18"/>
                <w:szCs w:val="18"/>
              </w:rPr>
              <w:t xml:space="preserve">Technical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2025 Tariff Shock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52.33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~14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~14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Acute Event</w:t>
            </w:r>
          </w:p>
        </w:tc>
      </w:tr>
    </w:tbl>
    <w:p>
      <w:pPr>
        <w:spacing w:after="40"/>
      </w:pPr>
      <w:r>
        <w:t xml:space="preserve"/>
      </w:r>
    </w:p>
    <w:p>
      <w:pPr>
        <w:spacing w:after="120"/>
      </w:pPr>
      <w:r>
        <w:t xml:space="preserve">Day 10 transition to “moderate overlay” would have been catastrophic in 2008 and 2020. The GFC was still intensifying at Day 10.</w:t>
      </w:r>
    </w:p>
    <w:p>
      <w:pPr>
        <w:spacing w:after="40"/>
      </w:pPr>
      <w:r>
        <w:t xml:space="preserve"/>
      </w:r>
    </w:p>
    <w:p>
      <w:pPr>
        <w:pStyle w:val="Heading2"/>
      </w:pPr>
      <w:r>
        <w:t xml:space="preserve">Why Credit Spreads Matter for Reset</w:t>
      </w:r>
    </w:p>
    <w:p>
      <w:pPr>
        <w:spacing w:after="120"/>
      </w:pPr>
      <w:r>
        <w:t xml:space="preserve">Credit spreads (HY OAS = High Yield Option-Adjusted Spread) mean-revert 3–10× more slowly than VIX. During the GFC, HY OAS peaked at 2,182 basis points. It did not return below 500 bps for 18+ months.</w:t>
      </w:r>
    </w:p>
    <w:p>
      <w:pPr>
        <w:spacing w:after="120"/>
      </w:pPr>
      <w:r>
        <w:t xml:space="preserve">FX implied volatility also lags equity VIX. So the aging reset conditions include HY OAS widening. Even if VIX normalizes, widening credit spreads mean the stress is migrating, not gone.</w:t>
      </w:r>
    </w:p>
    <w:p>
      <w:pPr>
        <w:pBdr>
          <w:bottom w:val="single" w:color="CCCCCC" w:sz="6" w:space="1"/>
        </w:pBdr>
        <w:spacing w:after="200" w:before="200"/>
      </w:pPr>
      <w:r>
        <w:t xml:space="preserve"/>
      </w:r>
    </w:p>
    <w:p>
      <w:pPr>
        <w:pStyle w:val="Heading1"/>
      </w:pPr>
      <w:r>
        <w:t xml:space="preserve">5. Safe Havens — Why Each One Behaves Differently</w:t>
      </w:r>
    </w:p>
    <w:p>
      <w:pPr>
        <w:pStyle w:val="Heading2"/>
      </w:pPr>
      <w:r>
        <w:t xml:space="preserve">JPY: Forced Unwind, Not Safety</w:t>
      </w:r>
    </w:p>
    <w:p>
      <w:pPr>
        <w:spacing w:after="120"/>
      </w:pPr>
      <w:r>
        <w:t xml:space="preserve">The old explanation — Japan’s political stability and net foreign assets make JPY a safe store of value — is outdated. All three Stage 2 research sources agree: JPY risk-off appreciation is almost entirely a mechanical liquidity event.</w:t>
      </w:r>
    </w:p>
    <w:p>
      <w:pPr>
        <w:spacing w:after="40"/>
      </w:pPr>
      <w:r>
        <w:t xml:space="preserve"/>
      </w:r>
    </w:p>
    <w:p>
      <w:pPr>
        <w:spacing w:after="120"/>
      </w:pPr>
      <w:r>
        <w:t xml:space="preserve">Here is the real mechanism:</w:t>
      </w:r>
    </w:p>
    <w:p>
      <w:pPr>
        <w:pStyle w:val="ListParagraph"/>
        <w:numPr>
          <w:ilvl w:val="0"/>
          <w:numId w:val="2"/>
        </w:numPr>
        <w:spacing w:after="80"/>
      </w:pPr>
      <w:r>
        <w:t xml:space="preserve">JPY is the world’s primary carry trade funding currency.</w:t>
      </w:r>
    </w:p>
    <w:p>
      <w:pPr>
        <w:pStyle w:val="ListParagraph"/>
        <w:numPr>
          <w:ilvl w:val="0"/>
          <w:numId w:val="2"/>
        </w:numPr>
        <w:spacing w:after="80"/>
      </w:pPr>
      <w:r>
        <w:t xml:space="preserve">Decades of zero rates made JPY the preferred short leg.</w:t>
      </w:r>
    </w:p>
    <w:p>
      <w:pPr>
        <w:pStyle w:val="ListParagraph"/>
        <w:numPr>
          <w:ilvl w:val="0"/>
          <w:numId w:val="2"/>
        </w:numPr>
        <w:spacing w:after="80"/>
      </w:pPr>
      <w:r>
        <w:t xml:space="preserve">When risk hits, leveraged institutions must cover JPY shorts.</w:t>
      </w:r>
    </w:p>
    <w:p>
      <w:pPr>
        <w:pStyle w:val="ListParagraph"/>
        <w:numPr>
          <w:ilvl w:val="0"/>
          <w:numId w:val="2"/>
        </w:numPr>
        <w:spacing w:after="80"/>
      </w:pPr>
      <w:r>
        <w:t xml:space="preserve">They buy JPY not because Japan is safe — but because they owe JPY.</w:t>
      </w:r>
    </w:p>
    <w:p>
      <w:pPr>
        <w:pStyle w:val="ListParagraph"/>
        <w:numPr>
          <w:ilvl w:val="0"/>
          <w:numId w:val="2"/>
        </w:numPr>
        <w:spacing w:after="80"/>
      </w:pPr>
      <w:r>
        <w:t xml:space="preserve">This is forced short-covering, not capital seeking safety.</w:t>
      </w:r>
    </w:p>
    <w:p>
      <w:pPr>
        <w:spacing w:after="40"/>
      </w:pPr>
      <w:r>
        <w:t xml:space="preserve"/>
      </w:r>
    </w:p>
    <w:p>
      <w:pPr>
        <w:pBdr>
          <w:left w:val="single" w:color="2E75B6" w:sz="12" w:space="6"/>
        </w:pBdr>
        <w:spacing w:after="120"/>
        <w:ind w:left="360"/>
      </w:pPr>
      <w:r>
        <w:rPr>
          <w:b/>
          <w:bCs/>
        </w:rPr>
        <w:t xml:space="preserve">Key evidence: </w:t>
      </w:r>
      <w:r>
        <w:t xml:space="preserve">2022 Ukraine invasion: VIX spiked. JPY weakened, not strengthened. The ~500bp US-Japan rate differential overrode the safe-haven bid entirely. This is BC_07 in action.</w:t>
      </w:r>
    </w:p>
    <w:p>
      <w:pPr>
        <w:spacing w:after="40"/>
      </w:pPr>
      <w:r>
        <w:t xml:space="preserve"/>
      </w:r>
    </w:p>
    <w:p>
      <w:pPr>
        <w:spacing w:after="120"/>
      </w:pPr>
      <w:r>
        <w:t xml:space="preserve">Institutional positioning is now shifting toward CHF as a cleaner safe haven. BoJ normalization (0.75% by late 2025) gradually removes the carry-unwind mechanism. Japan’s own rising JGB yields now cap JPY appreciation even when carry unwinds fire.</w:t>
      </w:r>
    </w:p>
    <w:p>
      <w:pPr>
        <w:spacing w:after="120"/>
      </w:pPr>
      <w:r>
        <w:t xml:space="preserve">P19 marks JPY as CONDITIONAL: bullish in financial crises (margin cascades force the unwind); weak or absent in geopolitical or policy crises (carry incentives persist).</w:t>
      </w:r>
    </w:p>
    <w:p>
      <w:pPr>
        <w:spacing w:after="40"/>
      </w:pPr>
      <w:r>
        <w:t xml:space="preserve"/>
      </w:r>
    </w:p>
    <w:p>
      <w:pPr>
        <w:pStyle w:val="Heading2"/>
      </w:pPr>
      <w:r>
        <w:t xml:space="preserve">USD: The Dollar Smile and Its Failure Mode</w:t>
      </w:r>
    </w:p>
    <w:p>
      <w:pPr>
        <w:spacing w:after="120"/>
      </w:pPr>
      <w:r>
        <w:t xml:space="preserve">USD safe-haven status rests on one assumption: the stress originates outside the US. When global risk rises, capital flows to USD as the global reserve currency. Dollar funding stress (McCauley &amp; McGuire 2009) mechanically drives USD appreciation as global banks scramble for dollar-denominated assets.</w:t>
      </w:r>
    </w:p>
    <w:p>
      <w:pPr>
        <w:spacing w:after="120"/>
      </w:pPr>
      <w:r>
        <w:t xml:space="preserve">When the US itself is the shock source, this logic inverts.</w:t>
      </w:r>
    </w:p>
    <w:p>
      <w:pPr>
        <w:spacing w:after="40"/>
      </w:pPr>
      <w:r>
        <w:t xml:space="preserve"/>
      </w:r>
    </w:p>
    <w:p>
      <w:pPr>
        <w:pBdr>
          <w:left w:val="single" w:color="2E75B6" w:sz="12" w:space="6"/>
        </w:pBdr>
        <w:spacing w:after="120"/>
        <w:ind w:left="360"/>
      </w:pPr>
      <w:r>
        <w:rPr>
          <w:b/>
          <w:bCs/>
        </w:rPr>
        <w:t xml:space="preserve">2025 Case Study: </w:t>
      </w:r>
      <w:r>
        <w:t xml:space="preserve">April 2025: USD fell 12% vs EUR YTD. US equities, US bonds, and USD all declined simultaneously. This tandem decline is BC_01’s detection signal. The ECB confirmed the usual positive USD-yield correlation “turned negative for a period after April 2.”</w:t>
      </w:r>
    </w:p>
    <w:p>
      <w:pPr>
        <w:spacing w:after="40"/>
      </w:pPr>
      <w:r>
        <w:t xml:space="preserve"/>
      </w:r>
    </w:p>
    <w:p>
      <w:pPr>
        <w:spacing w:after="120"/>
      </w:pPr>
      <w:r>
        <w:t xml:space="preserve">Why did this happen? Not just tariffs. The ECB identified weakening sentiment around US growth, fiscal credibility, and institutional predictability. Moody’s downgraded the US to Aa1 (May 2025). Structural deficits at ~7% of GDP confirmed this. Rising US yields began to look like emerging-market risk premiums, not signals of strength.</w:t>
      </w:r>
    </w:p>
    <w:p>
      <w:pPr>
        <w:spacing w:after="120"/>
      </w:pPr>
      <w:r>
        <w:t xml:space="preserve">BC_01 is now a PRIMARY STRUCTURAL TOGGLE in P19 v2.0. It has occurred twice in five years (March 2020, April 2025), making it moderate-frequency, not rare.</w:t>
      </w:r>
    </w:p>
    <w:p>
      <w:pPr>
        <w:spacing w:after="40"/>
      </w:pPr>
      <w:r>
        <w:t xml:space="preserve"/>
      </w:r>
    </w:p>
    <w:p>
      <w:pPr>
        <w:pStyle w:val="Heading2"/>
      </w:pPr>
      <w:r>
        <w:t xml:space="preserve">Gold: Four States, Not One</w:t>
      </w:r>
    </w:p>
    <w:p>
      <w:pPr>
        <w:spacing w:after="120"/>
      </w:pPr>
      <w:r>
        <w:t xml:space="preserve">Gold responds to multiple drivers simultaneously: risk sentiment, real rates, USD direction, and structural central bank demand. The simple “risk-off = gold bullish” rule fails in at least two configurations: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Scenario</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Real Yields</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USD</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Gold Direction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Standard risk-off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Falling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Flat / weakening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Strongly bullish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rate-hike risk-off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Strengthening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Moderately bullish (offset)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BC_01 (US loses safe-haven)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Rising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Falling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Primary haven — strongly bullish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BC_06 (dash-for-cash)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Initially bearish, then reversal</w:t>
            </w:r>
          </w:p>
        </w:tc>
      </w:tr>
    </w:tbl>
    <w:p>
      <w:pPr>
        <w:spacing w:after="40"/>
      </w:pPr>
      <w:r>
        <w:t xml:space="preserve"/>
      </w:r>
    </w:p>
    <w:p>
      <w:pPr>
        <w:spacing w:after="120"/>
      </w:pPr>
      <w:r>
        <w:t xml:space="preserve">Post-2023 structural shift: central banks have been net gold buyers every year since 2008, accelerating in 2024. This provides a floor even in risk-on environments.</w:t>
      </w:r>
    </w:p>
    <w:p>
      <w:pPr>
        <w:pBdr>
          <w:bottom w:val="single" w:color="CCCCCC" w:sz="6" w:space="1"/>
        </w:pBdr>
        <w:spacing w:after="200" w:before="200"/>
      </w:pPr>
      <w:r>
        <w:t xml:space="preserve"/>
      </w:r>
    </w:p>
    <w:p>
      <w:pPr>
        <w:pStyle w:val="Heading1"/>
      </w:pPr>
      <w:r>
        <w:t xml:space="preserve">6. EUR and the Crisis-Source Dependency</w:t>
      </w:r>
    </w:p>
    <w:p>
      <w:pPr>
        <w:spacing w:after="120"/>
      </w:pPr>
      <w:r>
        <w:t xml:space="preserve">Do not group EUR with high-beta commodity currencies (AUD/NZD). Do not classify it as a safe haven either. EUR is a “moderate risk-sensitive anchor” whose direction depends entirely on where the crisis originates.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Crisis Type</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EUR Direction</w:t>
            </w:r>
          </w:p>
        </w:tc>
        <w:tc>
          <w:tcPr>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b/>
                <w:bCs/>
                <w:color w:val="FFFFFF"/>
                <w:sz w:val="20"/>
                <w:szCs w:val="20"/>
              </w:rPr>
              <w:t xml:space="preserve">Why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Global / non-US risk-off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Moderately bearish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Traditional behavior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Eurozone-specific stress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Strongly bearish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Sovereign or ECB credibility risk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US-centric risk-off (BC_01)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Moderately bullish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Capital fleeing US rotates into EUR</w:t>
            </w:r>
          </w:p>
        </w:tc>
      </w:tr>
    </w:tbl>
    <w:p>
      <w:pPr>
        <w:spacing w:after="40"/>
      </w:pPr>
      <w:r>
        <w:t xml:space="preserve"/>
      </w:r>
    </w:p>
    <w:p>
      <w:pPr>
        <w:pBdr>
          <w:left w:val="single" w:color="2E75B6" w:sz="12" w:space="6"/>
        </w:pBdr>
        <w:spacing w:after="120"/>
        <w:ind w:left="360"/>
      </w:pPr>
      <w:r>
        <w:rPr>
          <w:b/>
          <w:bCs/>
        </w:rPr>
        <w:t xml:space="preserve">Caveat: </w:t>
      </w:r>
      <w:r>
        <w:t xml:space="preserve">EUR’s haven properties under BC_01 may be regime-specific. They depend on the Eurozone being relatively stable when US stress hits. Europe increasingly imports US financial conditions.</w:t>
      </w:r>
    </w:p>
    <w:p>
      <w:pPr>
        <w:pBdr>
          <w:bottom w:val="single" w:color="CCCCCC" w:sz="6" w:space="1"/>
        </w:pBdr>
        <w:spacing w:after="200" w:before="200"/>
      </w:pPr>
      <w:r>
        <w:t xml:space="preserve"/>
      </w:r>
    </w:p>
    <w:p>
      <w:pPr>
        <w:pStyle w:val="Heading1"/>
      </w:pPr>
      <w:r>
        <w:t xml:space="preserve">7. Breakdown Conditions (BCs) — The Mechanics</w:t>
      </w:r>
    </w:p>
    <w:p>
      <w:pPr>
        <w:pStyle w:val="Heading2"/>
      </w:pPr>
      <w:r>
        <w:t xml:space="preserve">BC_01: US-Centric Shock</w:t>
      </w:r>
    </w:p>
    <w:p>
      <w:pPr>
        <w:spacing w:after="120"/>
      </w:pPr>
      <w:r>
        <w:t xml:space="preserve">USD has two behavioral modes: funding-stress mode (USD appreciates — normal safe-haven) and domicile-of-shock mode (USD depreciates — when the US is the crisis source).</w:t>
      </w:r>
    </w:p>
    <w:p>
      <w:pPr>
        <w:spacing w:after="120"/>
      </w:pPr>
      <w:r>
        <w:t xml:space="preserve">When dollar funding markets stay orderly (Fed swap lines active), the shock’s origin determines USD direction. When the cross-currency basis blows out (global dollar shortage), USD appreciates regardless.</w:t>
      </w:r>
    </w:p>
    <w:p>
      <w:pPr>
        <w:spacing w:after="40"/>
      </w:pPr>
      <w:r>
        <w:t xml:space="preserve"/>
      </w:r>
    </w:p>
    <w:p>
      <w:pPr>
        <w:spacing w:after="120"/>
      </w:pPr>
      <w:r>
        <w:t xml:space="preserve">Detection requires all three declining simultaneously: USD + bonds + equities. If only USD declines while bonds rally, that is a standard flight to safety inside the US — not BC_01. The tandem three-way decline is the signature.</w:t>
      </w:r>
    </w:p>
    <w:p>
      <w:pPr>
        <w:spacing w:after="40"/>
      </w:pPr>
      <w:r>
        <w:t xml:space="preserve"/>
      </w:r>
    </w:p>
    <w:p>
      <w:pPr>
        <w:pStyle w:val="Heading2"/>
      </w:pPr>
      <w:r>
        <w:t xml:space="preserve">BC_02: Carry Trade Unwind</w:t>
      </w:r>
    </w:p>
    <w:p>
      <w:pPr>
        <w:spacing w:after="120"/>
      </w:pPr>
      <w:r>
        <w:t xml:space="preserve">Brunnermeier, Nagel &amp; Pedersen (2009) established the core link: carry crashes are fast and sharp. Modern context has amplified this:</w:t>
      </w:r>
    </w:p>
    <w:p>
      <w:pPr>
        <w:pStyle w:val="ListParagraph"/>
        <w:numPr>
          <w:ilvl w:val="0"/>
          <w:numId w:val="2"/>
        </w:numPr>
        <w:spacing w:after="80"/>
      </w:pPr>
      <w:r>
        <w:t xml:space="preserve">NBFIs use 10:1 to 20:1 leverage to harvest narrow yield differentials.</w:t>
      </w:r>
    </w:p>
    <w:p>
      <w:pPr>
        <w:pStyle w:val="ListParagraph"/>
        <w:numPr>
          <w:ilvl w:val="0"/>
          <w:numId w:val="2"/>
        </w:numPr>
        <w:spacing w:after="80"/>
      </w:pPr>
      <w:r>
        <w:t xml:space="preserve">They have no direct central bank liquidity access.</w:t>
      </w:r>
    </w:p>
    <w:p>
      <w:pPr>
        <w:pStyle w:val="ListParagraph"/>
        <w:numPr>
          <w:ilvl w:val="0"/>
          <w:numId w:val="2"/>
        </w:numPr>
        <w:spacing w:after="80"/>
      </w:pPr>
      <w:r>
        <w:t xml:space="preserve">They are extremely fragile during margin calls.</w:t>
      </w:r>
    </w:p>
    <w:p>
      <w:pPr>
        <w:spacing w:after="40"/>
      </w:pPr>
      <w:r>
        <w:t xml:space="preserve"/>
      </w:r>
    </w:p>
    <w:p>
      <w:pPr>
        <w:pBdr>
          <w:left w:val="single" w:color="2E75B6" w:sz="12" w:space="6"/>
        </w:pBdr>
        <w:spacing w:after="120"/>
        <w:ind w:left="360"/>
      </w:pPr>
      <w:r>
        <w:rPr>
          <w:b/>
          <w:bCs/>
        </w:rPr>
        <w:t xml:space="preserve">August 2024: </w:t>
      </w:r>
      <w:r>
        <w:t xml:space="preserve">BoJ raised rates. JPY strengthened &gt;12% in three weeks. MXN/JPY spot fell &gt;45% during severe carry unwinds. Effective sensitivity: 1.5× to 3×+.</w:t>
      </w:r>
    </w:p>
    <w:p>
      <w:pPr>
        <w:spacing w:after="40"/>
      </w:pPr>
      <w:r>
        <w:t xml:space="preserve"/>
      </w:r>
    </w:p>
    <w:p>
      <w:pPr>
        <w:spacing w:after="120"/>
      </w:pPr>
      <w:r>
        <w:t xml:space="preserve">Critical operational rule: do not trade technical support levels on carry pairs (AUD/JPY, NZD/JPY) during NBFI deleveraging. “Oversold” signals are meaningless when selling is forced by margin calls. Do not fade the move.</w:t>
      </w:r>
    </w:p>
    <w:p>
      <w:pPr>
        <w:spacing w:after="40"/>
      </w:pPr>
      <w:r>
        <w:t xml:space="preserve"/>
      </w:r>
    </w:p>
    <w:p>
      <w:pPr>
        <w:pStyle w:val="Heading2"/>
      </w:pPr>
      <w:r>
        <w:t xml:space="preserve">BC_06: Dash-for-Cash</w:t>
      </w:r>
    </w:p>
    <w:p>
      <w:pPr>
        <w:spacing w:after="120"/>
      </w:pPr>
      <w:r>
        <w:t xml:space="preserve">In extreme liquidity crises, even gold and Treasuries are sold as institutions raise USD cash. USD surges — not because America is safe, but because the entire global financial system is dollar-denominated.</w:t>
      </w:r>
    </w:p>
    <w:p>
      <w:pPr>
        <w:spacing w:after="120"/>
      </w:pPr>
      <w:r>
        <w:t xml:space="preserve">This is the inverse of BC_01: USD strengthens too much, and every safe haven temporarily fails.</w:t>
      </w:r>
    </w:p>
    <w:p>
      <w:pPr>
        <w:spacing w:after="40"/>
      </w:pPr>
      <w:r>
        <w:t xml:space="preserve"/>
      </w:r>
    </w:p>
    <w:p>
      <w:pPr>
        <w:spacing w:after="120"/>
      </w:pPr>
      <w:r>
        <w:t xml:space="preserve">Detection requires all four conditions simultaneously:</w:t>
      </w:r>
    </w:p>
    <w:p>
      <w:pPr>
        <w:pStyle w:val="ListParagraph"/>
        <w:numPr>
          <w:ilvl w:val="0"/>
          <w:numId w:val="2"/>
        </w:numPr>
        <w:spacing w:after="80"/>
      </w:pPr>
      <w:r>
        <w:t xml:space="preserve">VIX &gt;50</w:t>
      </w:r>
    </w:p>
    <w:p>
      <w:pPr>
        <w:pStyle w:val="ListParagraph"/>
        <w:numPr>
          <w:ilvl w:val="0"/>
          <w:numId w:val="2"/>
        </w:numPr>
        <w:spacing w:after="80"/>
      </w:pPr>
      <w:r>
        <w:t xml:space="preserve">Gold declining</w:t>
      </w:r>
    </w:p>
    <w:p>
      <w:pPr>
        <w:pStyle w:val="ListParagraph"/>
        <w:numPr>
          <w:ilvl w:val="0"/>
          <w:numId w:val="2"/>
        </w:numPr>
        <w:spacing w:after="80"/>
      </w:pPr>
      <w:r>
        <w:t xml:space="preserve">Treasury market dysfunction (bid-ask spread blowout)</w:t>
      </w:r>
    </w:p>
    <w:p>
      <w:pPr>
        <w:pStyle w:val="ListParagraph"/>
        <w:numPr>
          <w:ilvl w:val="0"/>
          <w:numId w:val="2"/>
        </w:numPr>
        <w:spacing w:after="80"/>
      </w:pPr>
      <w:r>
        <w:t xml:space="preserve">Cross-currency basis blowout</w:t>
      </w:r>
    </w:p>
    <w:p>
      <w:pPr>
        <w:spacing w:after="120"/>
      </w:pPr>
      <w:r>
        <w:t xml:space="preserve">Condition resolves when central banks activate emergency liquidity (Fed swap lines in March 2020 were the inflection point).</w:t>
      </w:r>
    </w:p>
    <w:p>
      <w:pPr>
        <w:spacing w:after="40"/>
      </w:pPr>
      <w:r>
        <w:t xml:space="preserve"/>
      </w:r>
    </w:p>
    <w:p>
      <w:pPr>
        <w:pStyle w:val="Heading2"/>
      </w:pPr>
      <w:r>
        <w:t xml:space="preserve">BC Conflict Resolution</w:t>
      </w:r>
    </w:p>
    <w:p>
      <w:pPr>
        <w:spacing w:after="120"/>
      </w:pPr>
      <w:r>
        <w:t xml:space="preserve">No published framework prescribes a deterministic priority order for contradictory BCs. This is a genuine literature gap.</w:t>
      </w:r>
    </w:p>
    <w:p>
      <w:pPr>
        <w:spacing w:after="120"/>
      </w:pPr>
      <w:r>
        <w:t xml:space="preserve">P19 v2.0 uses temporal hierarchy based on Sarkar (2009):</w:t>
      </w:r>
    </w:p>
    <w:p>
      <w:pPr>
        <w:pStyle w:val="ListParagraph"/>
        <w:numPr>
          <w:ilvl w:val="0"/>
          <w:numId w:val="2"/>
        </w:numPr>
        <w:spacing w:after="80"/>
      </w:pPr>
      <w:r>
        <w:t xml:space="preserve">Days 0–5: liquidity signals take priority (dollar funding stress, cross-currency basis).</w:t>
      </w:r>
    </w:p>
    <w:p>
      <w:pPr>
        <w:pStyle w:val="ListParagraph"/>
        <w:numPr>
          <w:ilvl w:val="0"/>
          <w:numId w:val="2"/>
        </w:numPr>
        <w:spacing w:after="80"/>
      </w:pPr>
      <w:r>
        <w:t xml:space="preserve">Days 5+: credit and macro signals gain weight as the shock matures.</w:t>
      </w:r>
    </w:p>
    <w:p>
      <w:pPr>
        <w:spacing w:after="120"/>
      </w:pPr>
      <w:r>
        <w:t xml:space="preserve">Practical tiebreaker: if cross-currency basis is blowing out, USD appreciates regardless of crisis origin.</w:t>
      </w:r>
    </w:p>
    <w:p>
      <w:pPr>
        <w:pBdr>
          <w:bottom w:val="single" w:color="CCCCCC" w:sz="6" w:space="1"/>
        </w:pBdr>
        <w:spacing w:after="200" w:before="200"/>
      </w:pPr>
      <w:r>
        <w:t xml:space="preserve"/>
      </w:r>
    </w:p>
    <w:p>
      <w:pPr>
        <w:pStyle w:val="Heading1"/>
      </w:pPr>
      <w:r>
        <w:t xml:space="preserve">8. The NBFI Liquidity Overlay — Why It Keeps Appearing</w:t>
      </w:r>
    </w:p>
    <w:p>
      <w:pPr>
        <w:spacing w:after="120"/>
      </w:pPr>
      <w:r>
        <w:t xml:space="preserve">Global FX daily turnover is $9.6 trillion (BIS 2025). The market has shifted from traditional banking to NBFI dominance. The stress chain is: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60"/>
            </w:pPr>
            <w:r>
              <w:rPr>
                <w:i w:val="false"/>
                <w:iCs w:val="false"/>
              </w:rPr>
              <w:t xml:space="preserve">Macro shock</w:t>
            </w:r>
          </w:p>
          <w:p>
            <w:pPr>
              <w:spacing w:after="60"/>
            </w:pPr>
            <w:r>
              <w:rPr>
                <w:i w:val="false"/>
                <w:iCs w:val="false"/>
              </w:rPr>
              <w:t xml:space="preserve">→ FX swap costs spike</w:t>
            </w:r>
          </w:p>
          <w:p>
            <w:pPr>
              <w:spacing w:after="60"/>
            </w:pPr>
            <w:r>
              <w:rPr>
                <w:i w:val="false"/>
                <w:iCs w:val="false"/>
              </w:rPr>
              <w:t xml:space="preserve">→ Cross-currency basis widens</w:t>
            </w:r>
          </w:p>
          <w:p>
            <w:pPr>
              <w:spacing w:after="60"/>
            </w:pPr>
            <w:r>
              <w:rPr>
                <w:i w:val="false"/>
                <w:iCs w:val="false"/>
              </w:rPr>
              <w:t xml:space="preserve">→ NBFIs cannot roll hedges</w:t>
            </w:r>
          </w:p>
          <w:p>
            <w:pPr>
              <w:spacing w:after="60"/>
            </w:pPr>
            <w:r>
              <w:rPr>
                <w:i w:val="false"/>
                <w:iCs w:val="false"/>
              </w:rPr>
              <w:t xml:space="preserve">→ Forced unhedged asset sales</w:t>
            </w:r>
          </w:p>
          <w:p>
            <w:pPr>
              <w:spacing w:after="60"/>
            </w:pPr>
            <w:r>
              <w:rPr>
                <w:i w:val="false"/>
                <w:iCs w:val="false"/>
              </w:rPr>
              <w:t xml:space="preserve">→ Mass liquidation amplifies exchange rate volatility</w:t>
            </w:r>
          </w:p>
          <w:p>
            <w:pPr>
              <w:spacing w:after="60"/>
            </w:pPr>
            <w:r>
              <w:rPr>
                <w:i w:val="false"/>
                <w:iCs w:val="false"/>
              </w:rPr>
              <w:t xml:space="preserve">→ Further basis widening</w:t>
            </w:r>
          </w:p>
          <w:p>
            <w:pPr>
              <w:spacing w:after="60"/>
            </w:pPr>
            <w:r>
              <w:rPr>
                <w:i w:val="false"/>
                <w:iCs w:val="false"/>
              </w:rPr>
              <w:t xml:space="preserve">→ Self-sustaining liquidation cycle</w:t>
            </w:r>
          </w:p>
        </w:tc>
      </w:tr>
    </w:tbl>
    <w:p>
      <w:pPr>
        <w:spacing w:after="40"/>
      </w:pPr>
      <w:r>
        <w:t xml:space="preserve"/>
      </w:r>
    </w:p>
    <w:p>
      <w:pPr>
        <w:spacing w:after="120"/>
      </w:pPr>
      <w:r>
        <w:t xml:space="preserve">This is why cross-currency basis appears throughout P19: in Extreme Risk-Off tier confirmations, in BC_02, in BC_06, and as a standalone overlay. It is the most reliable early warning that forced FX liquidation is imminent.</w:t>
      </w:r>
    </w:p>
    <w:p>
      <w:pPr>
        <w:spacing w:after="120"/>
      </w:pPr>
      <w:r>
        <w:t xml:space="preserve">Severe basis widening with elevated VIX = maximum confidence in impending safe-haven flows.</w:t>
      </w:r>
    </w:p>
    <w:p>
      <w:pPr>
        <w:spacing w:after="40"/>
      </w:pPr>
      <w:r>
        <w:t xml:space="preserve"/>
      </w:r>
    </w:p>
    <w:p>
      <w:pPr>
        <w:pStyle w:val="Heading2"/>
      </w:pPr>
      <w:r>
        <w:t xml:space="preserve">Why AUD, NZD, CAD Are Most Vulnerable</w:t>
      </w:r>
    </w:p>
    <w:p>
      <w:pPr>
        <w:spacing w:after="120"/>
      </w:pPr>
      <w:r>
        <w:t xml:space="preserve">The credit channel amplifies NBFI stress: falling asset values force lenders to demand higher risk premiums. This constrains trade finance. Over 90% of global trade depends on cross-border banking infrastructure.</w:t>
      </w:r>
    </w:p>
    <w:p>
      <w:pPr>
        <w:spacing w:after="120"/>
      </w:pPr>
      <w:r>
        <w:t xml:space="preserve">AUD, NZD, and CAD are not just “growth-sensitive” in the abstract. Their trade flows physically depend on the credit infrastructure that breaks down during NBFI deleveraging. That is why they are the most vulnerable risk-off assets, not because of abstract economic sensitivity.</w:t>
      </w:r>
    </w:p>
    <w:p>
      <w:pPr>
        <w:pBdr>
          <w:bottom w:val="single" w:color="CCCCCC" w:sz="6" w:space="1"/>
        </w:pBdr>
        <w:spacing w:after="200" w:before="200"/>
      </w:pPr>
      <w:r>
        <w:t xml:space="preserve"/>
      </w:r>
    </w:p>
    <w:p>
      <w:pPr>
        <w:pStyle w:val="Heading1"/>
      </w:pPr>
      <w:r>
        <w:t xml:space="preserve">9. Integration Architecture — Why Stepped, Not Linear</w:t>
      </w:r>
    </w:p>
    <w:p>
      <w:pPr>
        <w:spacing w:after="120"/>
      </w:pPr>
      <w:r>
        <w:t xml:space="preserve">P19 uses stepped integration (0% / 25% / 50% / 75% / 100% signal weight by tier). Here is why:</w:t>
      </w:r>
    </w:p>
    <w:p>
      <w:pPr>
        <w:spacing w:after="40"/>
      </w:pPr>
      <w:r>
        <w:t xml:space="preserve"/>
      </w:r>
    </w:p>
    <w:p>
      <w:pPr>
        <w:spacing w:after="120"/>
      </w:pPr>
      <w:r>
        <w:t xml:space="preserve">Bongaerts et al. (2020) tested conditional vs. continuous volatility targeting across 10 global equity markets (1972–2019):</w:t>
      </w:r>
    </w:p>
    <w:p>
      <w:pPr>
        <w:pStyle w:val="ListParagraph"/>
        <w:numPr>
          <w:ilvl w:val="0"/>
          <w:numId w:val="2"/>
        </w:numPr>
        <w:spacing w:after="80"/>
      </w:pPr>
      <w:r>
        <w:t xml:space="preserve">Conditional targeting improved Sharpe ratios in all 10 markets.</w:t>
      </w:r>
    </w:p>
    <w:p>
      <w:pPr>
        <w:pStyle w:val="ListParagraph"/>
        <w:numPr>
          <w:ilvl w:val="0"/>
          <w:numId w:val="2"/>
        </w:numPr>
        <w:spacing w:after="80"/>
      </w:pPr>
      <w:r>
        <w:t xml:space="preserve">Generated 33% less turnover (1.4× vs 2.1× annually).</w:t>
      </w:r>
    </w:p>
    <w:p>
      <w:pPr>
        <w:pStyle w:val="ListParagraph"/>
        <w:numPr>
          <w:ilvl w:val="0"/>
          <w:numId w:val="2"/>
        </w:numPr>
        <w:spacing w:after="80"/>
      </w:pPr>
      <w:r>
        <w:t xml:space="preserve">Continuous scaling failed in 2 of 10 markets and increased max drawdown in 4.</w:t>
      </w:r>
    </w:p>
    <w:p>
      <w:pPr>
        <w:spacing w:after="40"/>
      </w:pPr>
      <w:r>
        <w:t xml:space="preserve"/>
      </w:r>
    </w:p>
    <w:p>
      <w:pPr>
        <w:spacing w:after="120"/>
      </w:pPr>
      <w:r>
        <w:t xml:space="preserve">Cejnek &amp; Mair (2021): once annualized realized volatility exceeded ~68%, volatility-managed portfolios always outperformed. October 2008 produced 13.8 percentage points of outperformance.</w:t>
      </w:r>
    </w:p>
    <w:p>
      <w:pPr>
        <w:spacing w:after="40"/>
      </w:pPr>
      <w:r>
        <w:t xml:space="preserve"/>
      </w:r>
    </w:p>
    <w:p>
      <w:pPr>
        <w:spacing w:after="120"/>
      </w:pPr>
      <w:r>
        <w:t xml:space="preserve">Translation: the benefit of regime-based scaling is concentrated at the extremes. Dampening intermediate states provides little benefit. This is why:</w:t>
      </w:r>
    </w:p>
    <w:p>
      <w:pPr>
        <w:pStyle w:val="ListParagraph"/>
        <w:numPr>
          <w:ilvl w:val="0"/>
          <w:numId w:val="2"/>
        </w:numPr>
        <w:spacing w:after="80"/>
      </w:pPr>
      <w:r>
        <w:t xml:space="preserve">Risk-On and Neutral: no dampening (evidence shows no benefit in these ranges).</w:t>
      </w:r>
    </w:p>
    <w:p>
      <w:pPr>
        <w:pStyle w:val="ListParagraph"/>
        <w:numPr>
          <w:ilvl w:val="0"/>
          <w:numId w:val="2"/>
        </w:numPr>
        <w:spacing w:after="80"/>
      </w:pPr>
      <w:r>
        <w:t xml:space="preserve">Moderate: moderate dampening for momentum signals specifically.</w:t>
      </w:r>
    </w:p>
    <w:p>
      <w:pPr>
        <w:pStyle w:val="ListParagraph"/>
        <w:numPr>
          <w:ilvl w:val="0"/>
          <w:numId w:val="2"/>
        </w:numPr>
        <w:spacing w:after="80"/>
      </w:pPr>
      <w:r>
        <w:t xml:space="preserve">Severe and Extreme: aggressive intervention (this is where the evidence is strongest).</w:t>
      </w:r>
    </w:p>
    <w:p>
      <w:pPr>
        <w:spacing w:after="40"/>
      </w:pPr>
      <w:r>
        <w:t xml:space="preserve"/>
      </w:r>
    </w:p>
    <w:p>
      <w:pPr>
        <w:pBdr>
          <w:left w:val="single" w:color="2E75B6" w:sz="12" w:space="6"/>
        </w:pBdr>
        <w:spacing w:after="120"/>
        <w:ind w:left="360"/>
      </w:pPr>
      <w:r>
        <w:rPr>
          <w:b/>
          <w:bCs/>
        </w:rPr>
        <w:t xml:space="preserve">Important caveat: </w:t>
      </w:r>
      <w:r>
        <w:t xml:space="preserve">Cederburg et al. (2020): out-of-sample, real-time vol management often underperformed due to structural instability. Treat P19 position multipliers as starting points for backtesting, not settled truths.</w:t>
      </w:r>
    </w:p>
    <w:p>
      <w:pPr>
        <w:pBdr>
          <w:bottom w:val="single" w:color="CCCCCC" w:sz="6" w:space="1"/>
        </w:pBdr>
        <w:spacing w:after="200" w:before="200"/>
      </w:pPr>
      <w:r>
        <w:t xml:space="preserve"/>
      </w:r>
    </w:p>
    <w:p>
      <w:pPr>
        <w:pStyle w:val="Heading1"/>
      </w:pPr>
      <w:r>
        <w:t xml:space="preserve">10. Post-COVID Structural Shifts</w:t>
      </w:r>
    </w:p>
    <w:p>
      <w:pPr>
        <w:spacing w:after="120"/>
      </w:pPr>
      <w:r>
        <w:t xml:space="preserve">The risk-on/risk-off (RORO) framework is still valid. But its transmission mechanism has weakened since 2020. Three structural changes matter:</w:t>
      </w:r>
    </w:p>
    <w:p>
      <w:pPr>
        <w:spacing w:after="40"/>
      </w:pPr>
      <w:r>
        <w:t xml:space="preserve"/>
      </w:r>
    </w:p>
    <w:p>
      <w:pPr>
        <w:pStyle w:val="Heading2"/>
      </w:pPr>
      <w:r>
        <w:t xml:space="preserve">1. Divergent Central Bank Cycles</w:t>
      </w:r>
    </w:p>
    <w:p>
      <w:pPr>
        <w:spacing w:after="120"/>
      </w:pPr>
      <w:r>
        <w:t xml:space="preserve">Pre-2020, major central banks moved in rough synchrony. Post-COVID, the BoJ held ultra-loose while the Fed hiked 525bp. Rate differentials can dominate risk sentiment for extended periods. The 2022 JPY failure is the clearest example.</w:t>
      </w:r>
    </w:p>
    <w:p>
      <w:pPr>
        <w:spacing w:after="40"/>
      </w:pPr>
      <w:r>
        <w:t xml:space="preserve"/>
      </w:r>
    </w:p>
    <w:p>
      <w:pPr>
        <w:pStyle w:val="Heading2"/>
      </w:pPr>
      <w:r>
        <w:t xml:space="preserve">2. Fiscal Dominance</w:t>
      </w:r>
    </w:p>
    <w:p>
      <w:pPr>
        <w:spacing w:after="120"/>
      </w:pPr>
      <w:r>
        <w:t xml:space="preserve">Government debt across developed markets is at historical highs. US Aa1 downgrade and structural ~7% GDP deficits mean rising US yields no longer unambiguously signal economic strength. They may now reflect fiscal risk premiums. Long-duration Treasuries are no longer a reliable safe-haven proxy.</w:t>
      </w:r>
    </w:p>
    <w:p>
      <w:pPr>
        <w:spacing w:after="40"/>
      </w:pPr>
      <w:r>
        <w:t xml:space="preserve"/>
      </w:r>
    </w:p>
    <w:p>
      <w:pPr>
        <w:pStyle w:val="Heading2"/>
      </w:pPr>
      <w:r>
        <w:t xml:space="preserve">3. The Central Bank Put</w:t>
      </w:r>
    </w:p>
    <w:p>
      <w:pPr>
        <w:spacing w:after="120"/>
      </w:pPr>
      <w:r>
        <w:t xml:space="preserve">Extraordinary market support in 2008-09 and 2020 may have created expectations that central banks will always backstop markets. This potentially dampens risk-off severity — but creates fragility for the episode when support does not arrive.</w:t>
      </w:r>
    </w:p>
    <w:p>
      <w:pPr>
        <w:spacing w:after="40"/>
      </w:pPr>
      <w:r>
        <w:t xml:space="preserve"/>
      </w:r>
    </w:p>
    <w:p>
      <w:pPr>
        <w:pBdr>
          <w:left w:val="single" w:color="2E75B6" w:sz="12" w:space="6"/>
        </w:pBdr>
        <w:spacing w:after="120"/>
        <w:ind w:left="360"/>
      </w:pPr>
      <w:r>
        <w:rPr>
          <w:b/>
          <w:bCs/>
        </w:rPr>
        <w:t xml:space="preserve">How P19 accounts for this: </w:t>
      </w:r>
      <w:r>
        <w:t xml:space="preserve">Reduce conviction when cross-market correlations are visibly low: safe-haven currencies not moving in tandem, or VIX and credit spreads diverging for &gt;5 days. P19 works best when the RORO paradigm is actively asserting itself. It works less well when yield differentials and fiscal dynamics dominate.</w:t>
      </w:r>
    </w:p>
    <w:p>
      <w:pPr>
        <w:pBdr>
          <w:bottom w:val="single" w:color="CCCCCC" w:sz="6" w:space="1"/>
        </w:pBdr>
        <w:spacing w:after="200" w:before="200"/>
      </w:pPr>
      <w:r>
        <w:t xml:space="preserve"/>
      </w:r>
    </w:p>
    <w:p>
      <w:pPr>
        <w:pStyle w:val="Heading1"/>
      </w:pPr>
      <w:r>
        <w:t xml:space="preserve">Key Academic Sources</w:t>
      </w:r>
    </w:p>
    <w:p>
      <w:pPr>
        <w:spacing w:after="120"/>
      </w:pPr>
      <w:r>
        <w:t xml:space="preserve">Full citations are in the Stage 2 research archive. Key papers by topic:</w:t>
      </w:r>
    </w:p>
    <w:p>
      <w:pPr>
        <w:spacing w:after="40"/>
      </w:pPr>
      <w:r>
        <w:t xml:space="preserve"/>
      </w:r>
    </w:p>
    <w:p>
      <w:pPr>
        <w:pStyle w:val="Heading3"/>
      </w:pPr>
      <w:r>
        <w:t xml:space="preserve">Volatility Targeting &amp; Regime Scaling</w:t>
      </w:r>
    </w:p>
    <w:p>
      <w:pPr>
        <w:pStyle w:val="ListParagraph"/>
        <w:numPr>
          <w:ilvl w:val="0"/>
          <w:numId w:val="2"/>
        </w:numPr>
        <w:spacing w:after="80"/>
      </w:pPr>
      <w:r>
        <w:t xml:space="preserve">Bongaerts, Kang &amp; van Dijk (2020) — Conditional vol targeting across 10 global equity markets</w:t>
      </w:r>
    </w:p>
    <w:p>
      <w:pPr>
        <w:pStyle w:val="ListParagraph"/>
        <w:numPr>
          <w:ilvl w:val="0"/>
          <w:numId w:val="2"/>
        </w:numPr>
        <w:spacing w:after="80"/>
      </w:pPr>
      <w:r>
        <w:t xml:space="preserve">Barroso &amp; Santa-Clara (2015) — Inverse-vol-managed momentum (Sharpe 0.53 → 0.97)</w:t>
      </w:r>
    </w:p>
    <w:p>
      <w:pPr>
        <w:pStyle w:val="ListParagraph"/>
        <w:numPr>
          <w:ilvl w:val="0"/>
          <w:numId w:val="2"/>
        </w:numPr>
        <w:spacing w:after="80"/>
      </w:pPr>
      <w:r>
        <w:t xml:space="preserve">Moreira &amp; Muir (2017) — Volatility-managed portfolios across US equity factors</w:t>
      </w:r>
    </w:p>
    <w:p>
      <w:pPr>
        <w:pStyle w:val="ListParagraph"/>
        <w:numPr>
          <w:ilvl w:val="0"/>
          <w:numId w:val="2"/>
        </w:numPr>
        <w:spacing w:after="80"/>
      </w:pPr>
      <w:r>
        <w:t xml:space="preserve">Harvey, Hoyle et al. (2018, Man Group/AHL) — 10% vol targeting without band thresholds</w:t>
      </w:r>
    </w:p>
    <w:p>
      <w:pPr>
        <w:pStyle w:val="ListParagraph"/>
        <w:numPr>
          <w:ilvl w:val="0"/>
          <w:numId w:val="2"/>
        </w:numPr>
        <w:spacing w:after="80"/>
      </w:pPr>
      <w:r>
        <w:t xml:space="preserve">Cejnek &amp; Mair (2021) — Vol &gt;68% always benefits from scaling</w:t>
      </w:r>
    </w:p>
    <w:p>
      <w:pPr>
        <w:pStyle w:val="ListParagraph"/>
        <w:numPr>
          <w:ilvl w:val="0"/>
          <w:numId w:val="2"/>
        </w:numPr>
        <w:spacing w:after="80"/>
      </w:pPr>
      <w:r>
        <w:t xml:space="preserve">Cederburg et al. (2020) — Caveat: out-of-sample vol management often underperforms</w:t>
      </w:r>
    </w:p>
    <w:p>
      <w:pPr>
        <w:spacing w:after="40"/>
      </w:pPr>
      <w:r>
        <w:t xml:space="preserve"/>
      </w:r>
    </w:p>
    <w:p>
      <w:pPr>
        <w:pStyle w:val="Heading3"/>
      </w:pPr>
      <w:r>
        <w:t xml:space="preserve">Carry Trades &amp; Currency Crashes</w:t>
      </w:r>
    </w:p>
    <w:p>
      <w:pPr>
        <w:pStyle w:val="ListParagraph"/>
        <w:numPr>
          <w:ilvl w:val="0"/>
          <w:numId w:val="2"/>
        </w:numPr>
        <w:spacing w:after="80"/>
      </w:pPr>
      <w:r>
        <w:t xml:space="preserve">Brunnermeier, Nagel &amp; Pedersen (2009) — Carry trades and currency crashes</w:t>
      </w:r>
    </w:p>
    <w:p>
      <w:pPr>
        <w:pStyle w:val="ListParagraph"/>
        <w:numPr>
          <w:ilvl w:val="0"/>
          <w:numId w:val="2"/>
        </w:numPr>
        <w:spacing w:after="80"/>
      </w:pPr>
      <w:r>
        <w:t xml:space="preserve">Bekaert &amp; Wu (2000) — Asymmetric volatility (leverage effect)</w:t>
      </w:r>
    </w:p>
    <w:p>
      <w:pPr>
        <w:spacing w:after="40"/>
      </w:pPr>
      <w:r>
        <w:t xml:space="preserve"/>
      </w:r>
    </w:p>
    <w:p>
      <w:pPr>
        <w:pStyle w:val="Heading3"/>
      </w:pPr>
      <w:r>
        <w:t xml:space="preserve">Safe Havens &amp; USD Mechanics</w:t>
      </w:r>
    </w:p>
    <w:p>
      <w:pPr>
        <w:pStyle w:val="ListParagraph"/>
        <w:numPr>
          <w:ilvl w:val="0"/>
          <w:numId w:val="2"/>
        </w:numPr>
        <w:spacing w:after="80"/>
      </w:pPr>
      <w:r>
        <w:t xml:space="preserve">McCauley &amp; McGuire (2009, BIS) — USD appreciation from dollar funding shortage</w:t>
      </w:r>
    </w:p>
    <w:p>
      <w:pPr>
        <w:pStyle w:val="ListParagraph"/>
        <w:numPr>
          <w:ilvl w:val="0"/>
          <w:numId w:val="2"/>
        </w:numPr>
        <w:spacing w:after="80"/>
      </w:pPr>
      <w:r>
        <w:t xml:space="preserve">Ranaldo &amp; Söderlind (2010) — CHF/JPY safe-haven confirmation at high frequency</w:t>
      </w:r>
    </w:p>
    <w:p>
      <w:pPr>
        <w:spacing w:after="40"/>
      </w:pPr>
      <w:r>
        <w:t xml:space="preserve"/>
      </w:r>
    </w:p>
    <w:p>
      <w:pPr>
        <w:pStyle w:val="Heading3"/>
      </w:pPr>
      <w:r>
        <w:t xml:space="preserve">Regime Classification</w:t>
      </w:r>
    </w:p>
    <w:p>
      <w:pPr>
        <w:pStyle w:val="ListParagraph"/>
        <w:numPr>
          <w:ilvl w:val="0"/>
          <w:numId w:val="2"/>
        </w:numPr>
        <w:spacing w:after="80"/>
      </w:pPr>
      <w:r>
        <w:t xml:space="preserve">Marabel Romo (2012) — VIX two-regime Markov model (persistence p = 0.985/0.989)</w:t>
      </w:r>
    </w:p>
    <w:p>
      <w:pPr>
        <w:pStyle w:val="ListParagraph"/>
        <w:numPr>
          <w:ilvl w:val="0"/>
          <w:numId w:val="2"/>
        </w:numPr>
        <w:spacing w:after="80"/>
      </w:pPr>
      <w:r>
        <w:t xml:space="preserve">Nystrup, Kolm &amp; Lindström (2020) — Jump penalties for regime persistence</w:t>
      </w:r>
    </w:p>
    <w:p>
      <w:pPr>
        <w:pStyle w:val="ListParagraph"/>
        <w:numPr>
          <w:ilvl w:val="0"/>
          <w:numId w:val="2"/>
        </w:numPr>
        <w:spacing w:after="80"/>
      </w:pPr>
      <w:r>
        <w:t xml:space="preserve">Illing &amp; Aaron (2005, Bank of Canada) — Cross-comparison of 11 risk-appetite indexes</w:t>
      </w:r>
    </w:p>
    <w:p>
      <w:pPr>
        <w:pStyle w:val="ListParagraph"/>
        <w:numPr>
          <w:ilvl w:val="0"/>
          <w:numId w:val="2"/>
        </w:numPr>
        <w:spacing w:after="80"/>
      </w:pPr>
      <w:r>
        <w:t xml:space="preserve">Markov persistence math: p₁₁ = 0.985 (low-vol stays low), p₂₂ = 0.989 (high-vol stays high)</w:t>
      </w:r>
    </w:p>
    <w:p>
      <w:pPr>
        <w:spacing w:after="40"/>
      </w:pPr>
      <w:r>
        <w:t xml:space="preserve"/>
      </w:r>
    </w:p>
    <w:p>
      <w:pPr>
        <w:pStyle w:val="Heading3"/>
      </w:pPr>
      <w:r>
        <w:t xml:space="preserve">Market Structure &amp; Institutional Research</w:t>
      </w:r>
    </w:p>
    <w:p>
      <w:pPr>
        <w:pStyle w:val="ListParagraph"/>
        <w:numPr>
          <w:ilvl w:val="0"/>
          <w:numId w:val="2"/>
        </w:numPr>
        <w:spacing w:after="80"/>
      </w:pPr>
      <w:r>
        <w:t xml:space="preserve">BIS Triennial Survey (2025) — FX market structure (59% electronic, 80% internalized)</w:t>
      </w:r>
    </w:p>
    <w:p>
      <w:pPr>
        <w:pStyle w:val="ListParagraph"/>
        <w:numPr>
          <w:ilvl w:val="0"/>
          <w:numId w:val="2"/>
        </w:numPr>
        <w:spacing w:after="80"/>
      </w:pPr>
      <w:r>
        <w:t xml:space="preserve">Holló, Kremer &amp; Lo Duca (2012) — ECB CISS composite indicator methodology</w:t>
      </w:r>
    </w:p>
    <w:p>
      <w:pPr>
        <w:pStyle w:val="ListParagraph"/>
        <w:numPr>
          <w:ilvl w:val="0"/>
          <w:numId w:val="2"/>
        </w:numPr>
        <w:spacing w:after="80"/>
      </w:pPr>
      <w:r>
        <w:t xml:space="preserve">ECB Financial Stability Review (November 2025) — April 2025 USD inversion primary source</w:t>
      </w:r>
    </w:p>
    <w:p>
      <w:pPr>
        <w:pStyle w:val="ListParagraph"/>
        <w:numPr>
          <w:ilvl w:val="0"/>
          <w:numId w:val="2"/>
        </w:numPr>
        <w:spacing w:after="80"/>
      </w:pPr>
      <w:r>
        <w:t xml:space="preserve">DeMiguel et al. (2024) — Factor-dependent risk-return tradeoff in high-vol states</w:t>
      </w:r>
    </w:p>
    <w:p>
      <w:pPr>
        <w:spacing w:after="40"/>
      </w:pPr>
      <w:r>
        <w:t xml:space="preserve"/>
      </w:r>
    </w:p>
    <w:p>
      <w:pPr>
        <w:pBdr>
          <w:top w:val="single" w:color="CCCCCC" w:sz="4" w:space="4"/>
        </w:pBdr>
        <w:spacing w:before="400"/>
      </w:pPr>
      <w:r>
        <w:rPr>
          <w:i/>
          <w:iCs/>
          <w:color w:val="888888"/>
          <w:sz w:val="18"/>
          <w:szCs w:val="18"/>
        </w:rPr>
        <w:t xml:space="preserve">End of P19 Study Guide — Plain Language Edition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color w:val="999999"/>
        <w:sz w:val="16"/>
        <w:szCs w:val="16"/>
      </w:rPr>
      <w:t xml:space="preserve">Project Playbook Gauntlet — Internal Reference</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color w:val="666666"/>
        <w:sz w:val="18"/>
        <w:szCs w:val="18"/>
      </w:rPr>
      <w:t xml:space="preserve">P19 Risk Sentiment — Study Guide (Plain Language)</w:t>
    </w:r>
    <w:r>
      <w:rPr>
        <w:sz w:val="18"/>
        <w:szCs w:val="18"/>
      </w:rPr>
      <w:t xml:space="preserve">	</w:t>
    </w:r>
    <w:r>
      <w:rPr>
        <w:b/>
        <w:bCs/>
        <w:color w:val="2E75B6"/>
        <w:sz w:val="18"/>
        <w:szCs w:val="18"/>
      </w:rPr>
      <w:t xml:space="preserve">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2026-04-16T08:06:34.298Z</dcterms:created>
  <dcterms:modified xsi:type="dcterms:W3CDTF">2026-04-16T08:06:34.298Z</dcterms:modified>
</cp:coreProperties>
</file>

<file path=docProps/custom.xml><?xml version="1.0" encoding="utf-8"?>
<Properties xmlns="http://schemas.openxmlformats.org/officeDocument/2006/custom-properties" xmlns:vt="http://schemas.openxmlformats.org/officeDocument/2006/docPropsVTypes"/>
</file>