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PROJECT MASTER SUMMARY</w:t>
      </w:r>
    </w:p>
    <w:p>
      <w:pPr>
        <w:jc w:val="center"/>
      </w:pPr>
      <w:r>
        <w:rPr>
          <w:rFonts w:ascii="Arial" w:hAnsi="Arial"/>
          <w:i/>
          <w:sz w:val="24"/>
        </w:rPr>
        <w:t>Forex Master Project — Edwin Chege — April 10, 2026</w:t>
      </w:r>
    </w:p>
    <w:p/>
    <w:p>
      <w:pPr>
        <w:pStyle w:val="Heading1"/>
      </w:pPr>
      <w:r>
        <w:rPr>
          <w:rFonts w:ascii="Arial" w:hAnsi="Arial"/>
        </w:rPr>
        <w:t>Project Overview</w:t>
      </w:r>
    </w:p>
    <w:p>
      <w:r>
        <w:rPr>
          <w:rFonts w:ascii="Arial" w:hAnsi="Arial"/>
          <w:sz w:val="22"/>
        </w:rPr>
        <w:t>Project Playbook Gauntlet is a systematic effort to build, validate, and deploy a portfolio of 5–10 elite, 100% mechanical forex trading strategies. The project derives from 372 BabyPips lessons, organized into 26 numbered protocols across five categories: Mechanical Strategies (P1–P15), Regime Classification (P16), Retracement vs Reversal (P17), Market Bias Models (P18–P22, P25–P26), and Meta/Process (P23–P24). The goal is to generate capital through prop firm competitions (zero-risk path) before scaling to personal capital. The platform stack includes TradingView (Pine Script indicators), MT4/MT5 (execution), Python/Jupyter (Protocol Engine automation), and Claude/Gemini/Grok AI (analysis).</w:t>
      </w:r>
    </w:p>
    <w:p/>
    <w:p>
      <w:pPr>
        <w:pStyle w:val="Heading1"/>
      </w:pPr>
      <w:r>
        <w:rPr>
          <w:rFonts w:ascii="Arial" w:hAnsi="Arial"/>
        </w:rPr>
        <w:t>Current State of the Trading System</w:t>
      </w:r>
    </w:p>
    <w:p>
      <w:r>
        <w:rPr>
          <w:rFonts w:ascii="Arial" w:hAnsi="Arial"/>
          <w:sz w:val="22"/>
        </w:rPr>
        <w:t>Protocol Engine v2.3.4 is fully operational with seven integrated engines: COT Processor (CFTC data pipeline for 12 instruments), FRED Dashboard (VIX, HY OAS, yields), Rate Differential Engine (28-pair interest rate spreads), Event Calendar (Forex Factory API with country-aware matching), Session State (persistent positions and P&amp;L tracking), Conviction Matrix (6-layer SUPPORTS/OPPOSES/NEUTRAL classification), and Instrument Selector (regime-based watchlist ranking for 35 instruments).</w:t>
      </w:r>
    </w:p>
    <w:p>
      <w:r>
        <w:rPr>
          <w:rFonts w:ascii="Arial" w:hAnsi="Arial"/>
          <w:sz w:val="22"/>
        </w:rPr>
        <w:t>All 26 protocol documents have been written and are current. Pine Script indicators (Gauntlet v3.0 and S&amp;R Volume Profile) are deployed on TradingView. The COT data pipeline processes disaggregated, TFF, and legacy CFTC data with WillCo percentile calculations. Rate differentials cover all 28 pairs with shift tracking and staleness detection.</w:t>
      </w:r>
    </w:p>
    <w:p>
      <w:r>
        <w:rPr>
          <w:rFonts w:ascii="Arial" w:hAnsi="Arial"/>
          <w:sz w:val="22"/>
        </w:rPr>
        <w:t>The system currently produces a small tradeable watchlist (2–3 instruments per session) due to intentionally conservative conviction filtering — this is by design, not a bug. The multi-layer SUPPORTS/OPPOSES system correctly blocks low-conviction trades.</w:t>
      </w:r>
    </w:p>
    <w:p/>
    <w:p>
      <w:pPr>
        <w:pStyle w:val="Heading1"/>
      </w:pPr>
      <w:r>
        <w:rPr>
          <w:rFonts w:ascii="Arial" w:hAnsi="Arial"/>
        </w:rPr>
        <w:t>Open Issues &amp; Decisions Needed</w:t>
      </w:r>
    </w:p>
    <w:p>
      <w:pPr>
        <w:pStyle w:val="ListNumber"/>
        <w:spacing w:before="60" w:after="60"/>
      </w:pPr>
      <w:r>
        <w:rPr>
          <w:rFonts w:ascii="Arial" w:hAnsi="Arial"/>
          <w:b/>
          <w:sz w:val="22"/>
        </w:rPr>
        <w:t xml:space="preserve">SEVERE_RISK_OFF tier (v2.4). </w:t>
      </w:r>
      <w:r>
        <w:rPr>
          <w:rFonts w:ascii="Arial" w:hAnsi="Arial"/>
          <w:sz w:val="22"/>
        </w:rPr>
        <w:t>Spec approved, not yet coded. Fills gap between MODERATE_RISK_OFF (VIX 20–40) and EXTREME (VIX &gt;40). Six code touchpoints identified. Ready for implementation.</w:t>
      </w:r>
    </w:p>
    <w:p>
      <w:pPr>
        <w:pStyle w:val="ListNumber"/>
        <w:spacing w:before="60" w:after="60"/>
      </w:pPr>
      <w:r>
        <w:rPr>
          <w:rFonts w:ascii="Arial" w:hAnsi="Arial"/>
          <w:b/>
          <w:sz w:val="22"/>
        </w:rPr>
        <w:t xml:space="preserve">FRED API intermittent failures. </w:t>
      </w:r>
      <w:r>
        <w:rPr>
          <w:rFonts w:ascii="Arial" w:hAnsi="Arial"/>
          <w:sz w:val="22"/>
        </w:rPr>
        <w:t>VIX and USD Broad TWI sometimes fail with DNS/500 errors. Current workaround: manual GLOBAL_RISK_SENTIMENT override. Needs reliability fix or fallback.</w:t>
      </w:r>
    </w:p>
    <w:p>
      <w:pPr>
        <w:pStyle w:val="ListNumber"/>
        <w:spacing w:before="60" w:after="60"/>
      </w:pPr>
      <w:r>
        <w:rPr>
          <w:rFonts w:ascii="Arial" w:hAnsi="Arial"/>
          <w:b/>
          <w:sz w:val="22"/>
        </w:rPr>
        <w:t xml:space="preserve">Foreign yield staleness. </w:t>
      </w:r>
      <w:r>
        <w:rPr>
          <w:rFonts w:ascii="Arial" w:hAnsi="Arial"/>
          <w:sz w:val="22"/>
        </w:rPr>
        <w:t>Manual entry of 7-currency 2Y yields, last updated April 1, 2026. No auto-fetch. TradingView recommended (3 min/week).</w:t>
      </w:r>
    </w:p>
    <w:p>
      <w:pPr>
        <w:pStyle w:val="ListNumber"/>
        <w:spacing w:before="60" w:after="60"/>
      </w:pPr>
      <w:r>
        <w:rPr>
          <w:rFonts w:ascii="Arial" w:hAnsi="Arial"/>
          <w:b/>
          <w:sz w:val="22"/>
        </w:rPr>
        <w:t xml:space="preserve">COT data gaps. </w:t>
      </w:r>
      <w:r>
        <w:rPr>
          <w:rFonts w:ascii="Arial" w:hAnsi="Arial"/>
          <w:sz w:val="22"/>
        </w:rPr>
        <w:t>Only 64 rows (~15 months). Need 156+ weeks for secular WillCo. Missing %-Long/%-Short confirmation. Lookback: 13w for NAS/S&amp;P/WTI vs 26w for forex.</w:t>
      </w:r>
    </w:p>
    <w:p>
      <w:pPr>
        <w:pStyle w:val="ListNumber"/>
        <w:spacing w:before="60" w:after="60"/>
      </w:pPr>
      <w:r>
        <w:rPr>
          <w:rFonts w:ascii="Arial" w:hAnsi="Arial"/>
          <w:b/>
          <w:sz w:val="22"/>
        </w:rPr>
        <w:t xml:space="preserve">Protocol 15 TP1 ratio bug. </w:t>
      </w:r>
      <w:r>
        <w:rPr>
          <w:rFonts w:ascii="Arial" w:hAnsi="Arial"/>
          <w:sz w:val="22"/>
        </w:rPr>
        <w:t>TP1 defaults to 1R; ratio check 'TP1 / stop &lt; 2.0' always fails. Should check TP2 or structural target instead.</w:t>
      </w:r>
    </w:p>
    <w:p>
      <w:pPr>
        <w:pStyle w:val="ListNumber"/>
        <w:spacing w:before="60" w:after="60"/>
      </w:pPr>
      <w:r>
        <w:rPr>
          <w:rFonts w:ascii="Arial" w:hAnsi="Arial"/>
          <w:b/>
          <w:sz w:val="22"/>
        </w:rPr>
        <w:t xml:space="preserve">Multi-strategy conflict resolution. </w:t>
      </w:r>
      <w:r>
        <w:rPr>
          <w:rFonts w:ascii="Arial" w:hAnsi="Arial"/>
          <w:sz w:val="22"/>
        </w:rPr>
        <w:t>No formal tiebreaker when 2+ protocols signal same pair. Needs formal rules.</w:t>
      </w:r>
    </w:p>
    <w:p>
      <w:pPr>
        <w:pStyle w:val="ListNumber"/>
        <w:spacing w:before="60" w:after="60"/>
      </w:pPr>
      <w:r>
        <w:rPr>
          <w:rFonts w:ascii="Arial" w:hAnsi="Arial"/>
          <w:b/>
          <w:sz w:val="22"/>
        </w:rPr>
        <w:t xml:space="preserve">Backtest validation. </w:t>
      </w:r>
      <w:r>
        <w:rPr>
          <w:rFonts w:ascii="Arial" w:hAnsi="Arial"/>
          <w:sz w:val="22"/>
        </w:rPr>
        <w:t>No documented results for 15 technical protocols. Critical gap before prop firm entry.</w:t>
      </w:r>
    </w:p>
    <w:p>
      <w:pPr>
        <w:pStyle w:val="ListNumber"/>
        <w:spacing w:before="60" w:after="60"/>
      </w:pPr>
      <w:r>
        <w:rPr>
          <w:rFonts w:ascii="Arial" w:hAnsi="Arial"/>
          <w:b/>
          <w:sz w:val="22"/>
        </w:rPr>
        <w:t xml:space="preserve">Pine Script gaps. </w:t>
      </w:r>
      <w:r>
        <w:rPr>
          <w:rFonts w:ascii="Arial" w:hAnsi="Arial"/>
          <w:sz w:val="22"/>
        </w:rPr>
        <w:t>Protocols 11–15, 17, 24 still need Pine Script indicators coded.</w:t>
      </w:r>
    </w:p>
    <w:p>
      <w:pPr>
        <w:pStyle w:val="ListNumber"/>
        <w:spacing w:before="60" w:after="60"/>
      </w:pPr>
      <w:r>
        <w:rPr>
          <w:rFonts w:ascii="Arial" w:hAnsi="Arial"/>
          <w:b/>
          <w:sz w:val="22"/>
        </w:rPr>
        <w:t xml:space="preserve">Deep Search macro refresh. </w:t>
      </w:r>
      <w:r>
        <w:rPr>
          <w:rFonts w:ascii="Arial" w:hAnsi="Arial"/>
          <w:sz w:val="22"/>
        </w:rPr>
        <w:t>Last run March 27, 2026. Stale by 14+ days.</w:t>
      </w:r>
    </w:p>
    <w:p>
      <w:pPr>
        <w:pStyle w:val="ListNumber"/>
        <w:spacing w:before="60" w:after="60"/>
      </w:pPr>
      <w:r>
        <w:rPr>
          <w:rFonts w:ascii="Arial" w:hAnsi="Arial"/>
          <w:b/>
          <w:sz w:val="22"/>
        </w:rPr>
        <w:t xml:space="preserve">Informed Flow Detection (P23). </w:t>
      </w:r>
      <w:r>
        <w:rPr>
          <w:rFonts w:ascii="Arial" w:hAnsi="Arial"/>
          <w:sz w:val="22"/>
        </w:rPr>
        <w:t>Pilot draft needs 10+ historical cases to validate false positive rate.</w:t>
      </w:r>
    </w:p>
    <w:p>
      <w:pPr>
        <w:pStyle w:val="ListNumber"/>
        <w:spacing w:before="60" w:after="60"/>
      </w:pPr>
      <w:r>
        <w:rPr>
          <w:rFonts w:ascii="Arial" w:hAnsi="Arial"/>
          <w:b/>
          <w:sz w:val="22"/>
        </w:rPr>
        <w:t xml:space="preserve">IG Client Sentiment offline. </w:t>
      </w:r>
      <w:r>
        <w:rPr>
          <w:rFonts w:ascii="Arial" w:hAnsi="Arial"/>
          <w:sz w:val="22"/>
        </w:rPr>
        <w:t>Permanently offline since Sep 2024. P25 now uses FXSSI alone (single-source cap) or FXSSI + Myfxbook.</w:t>
      </w:r>
    </w:p>
    <w:p/>
    <w:p>
      <w:pPr>
        <w:pStyle w:val="Heading1"/>
      </w:pPr>
      <w:r>
        <w:rPr>
          <w:rFonts w:ascii="Arial" w:hAnsi="Arial"/>
        </w:rPr>
        <w:t>Folder Structure Guide</w:t>
      </w:r>
    </w:p>
    <w:tbl>
      <w:tblPr>
        <w:tblStyle w:val="LightGrid-Accent1"/>
        <w:tblW w:type="auto" w:w="0"/>
        <w:tblLook w:firstColumn="1" w:firstRow="1" w:lastColumn="0" w:lastRow="0" w:noHBand="0" w:noVBand="1" w:val="04A0"/>
      </w:tblPr>
      <w:tblGrid>
        <w:gridCol w:w="4320"/>
        <w:gridCol w:w="4320"/>
      </w:tblGrid>
      <w:tr>
        <w:tc>
          <w:tcPr>
            <w:tcW w:type="dxa" w:w="2160"/>
          </w:tcPr>
          <w:p>
            <w:r>
              <w:rPr>
                <w:rFonts w:ascii="Arial" w:hAnsi="Arial"/>
                <w:b/>
                <w:sz w:val="22"/>
              </w:rPr>
              <w:t>Folder</w:t>
            </w:r>
          </w:p>
        </w:tc>
        <w:tc>
          <w:tcPr>
            <w:tcW w:type="dxa" w:w="6480"/>
          </w:tcPr>
          <w:p>
            <w:r>
              <w:rPr>
                <w:rFonts w:ascii="Arial" w:hAnsi="Arial"/>
                <w:b/>
                <w:sz w:val="22"/>
              </w:rPr>
              <w:t>Contents</w:t>
            </w:r>
          </w:p>
        </w:tc>
      </w:tr>
      <w:tr>
        <w:tc>
          <w:tcPr>
            <w:tcW w:type="dxa" w:w="2160"/>
          </w:tcPr>
          <w:p>
            <w:r>
              <w:rPr>
                <w:rFonts w:ascii="Arial" w:hAnsi="Arial"/>
                <w:b/>
                <w:sz w:val="20"/>
              </w:rPr>
              <w:t>Root (/)</w:t>
            </w:r>
          </w:p>
        </w:tc>
        <w:tc>
          <w:tcPr>
            <w:tcW w:type="dxa" w:w="6480"/>
          </w:tcPr>
          <w:p>
            <w:r>
              <w:rPr>
                <w:rFonts w:ascii="Arial" w:hAnsi="Arial"/>
                <w:sz w:val="20"/>
              </w:rPr>
              <w:t>26 protocol documents (P1–P26), Pine Script code, master prompts, strategic planning docs, reference materials</w:t>
            </w:r>
          </w:p>
        </w:tc>
      </w:tr>
      <w:tr>
        <w:tc>
          <w:tcPr>
            <w:tcW w:type="dxa" w:w="2160"/>
          </w:tcPr>
          <w:p>
            <w:r>
              <w:rPr>
                <w:rFonts w:ascii="Arial" w:hAnsi="Arial"/>
                <w:b/>
                <w:sz w:val="20"/>
              </w:rPr>
              <w:t>Core Synthesis/</w:t>
            </w:r>
          </w:p>
        </w:tc>
        <w:tc>
          <w:tcPr>
            <w:tcW w:type="dxa" w:w="6480"/>
          </w:tcPr>
          <w:p>
            <w:r>
              <w:rPr>
                <w:rFonts w:ascii="Arial" w:hAnsi="Arial"/>
                <w:sz w:val="20"/>
              </w:rPr>
              <w:t>Reference library — trading books (PDFs), strategic planning documents, project synthesis analysis</w:t>
            </w:r>
          </w:p>
        </w:tc>
      </w:tr>
      <w:tr>
        <w:tc>
          <w:tcPr>
            <w:tcW w:type="dxa" w:w="2160"/>
          </w:tcPr>
          <w:p>
            <w:r>
              <w:rPr>
                <w:rFonts w:ascii="Arial" w:hAnsi="Arial"/>
                <w:b/>
                <w:sz w:val="20"/>
              </w:rPr>
              <w:t>Semi_automation/</w:t>
            </w:r>
          </w:p>
        </w:tc>
        <w:tc>
          <w:tcPr>
            <w:tcW w:type="dxa" w:w="6480"/>
          </w:tcPr>
          <w:p>
            <w:r>
              <w:rPr>
                <w:rFonts w:ascii="Arial" w:hAnsi="Arial"/>
                <w:sz w:val="20"/>
              </w:rPr>
              <w:t>Protocol Engine v2.3.4 Jupyter notebook, COT data CSVs, rate differential JSONs, session state JSONs</w:t>
            </w:r>
          </w:p>
        </w:tc>
      </w:tr>
      <w:tr>
        <w:tc>
          <w:tcPr>
            <w:tcW w:type="dxa" w:w="2160"/>
          </w:tcPr>
          <w:p>
            <w:r>
              <w:rPr>
                <w:rFonts w:ascii="Arial" w:hAnsi="Arial"/>
                <w:b/>
                <w:sz w:val="20"/>
              </w:rPr>
              <w:t>Semi_automation/cot_data/</w:t>
            </w:r>
          </w:p>
        </w:tc>
        <w:tc>
          <w:tcPr>
            <w:tcW w:type="dxa" w:w="6480"/>
          </w:tcPr>
          <w:p>
            <w:r>
              <w:rPr>
                <w:rFonts w:ascii="Arial" w:hAnsi="Arial"/>
                <w:sz w:val="20"/>
              </w:rPr>
              <w:t>CFTC Commitments of Traders data — disaggregated, TFF, legacy formats for 2025–2026</w:t>
            </w:r>
          </w:p>
        </w:tc>
      </w:tr>
      <w:tr>
        <w:tc>
          <w:tcPr>
            <w:tcW w:type="dxa" w:w="2160"/>
          </w:tcPr>
          <w:p>
            <w:r>
              <w:rPr>
                <w:rFonts w:ascii="Arial" w:hAnsi="Arial"/>
                <w:b/>
                <w:sz w:val="20"/>
              </w:rPr>
              <w:t>Old protocols/</w:t>
            </w:r>
          </w:p>
        </w:tc>
        <w:tc>
          <w:tcPr>
            <w:tcW w:type="dxa" w:w="6480"/>
          </w:tcPr>
          <w:p>
            <w:r>
              <w:rPr>
                <w:rFonts w:ascii="Arial" w:hAnsi="Arial"/>
                <w:sz w:val="20"/>
              </w:rPr>
              <w:t>Superseded v1 versions (historical reference only)</w:t>
            </w:r>
          </w:p>
        </w:tc>
      </w:tr>
      <w:tr>
        <w:tc>
          <w:tcPr>
            <w:tcW w:type="dxa" w:w="2160"/>
          </w:tcPr>
          <w:p>
            <w:r>
              <w:rPr>
                <w:rFonts w:ascii="Arial" w:hAnsi="Arial"/>
                <w:b/>
                <w:sz w:val="20"/>
              </w:rPr>
              <w:t>Mcp/</w:t>
            </w:r>
          </w:p>
        </w:tc>
        <w:tc>
          <w:tcPr>
            <w:tcW w:type="dxa" w:w="6480"/>
          </w:tcPr>
          <w:p>
            <w:r>
              <w:rPr>
                <w:rFonts w:ascii="Arial" w:hAnsi="Arial"/>
                <w:sz w:val="20"/>
              </w:rPr>
              <w:t>MCP setup notes and saved installation web pages</w:t>
            </w:r>
          </w:p>
        </w:tc>
      </w:tr>
      <w:tr>
        <w:tc>
          <w:tcPr>
            <w:tcW w:type="dxa" w:w="2160"/>
          </w:tcPr>
          <w:p>
            <w:r>
              <w:rPr>
                <w:rFonts w:ascii="Arial" w:hAnsi="Arial"/>
                <w:b/>
                <w:sz w:val="20"/>
              </w:rPr>
              <w:t>Pizzo fx sessions/</w:t>
            </w:r>
          </w:p>
        </w:tc>
        <w:tc>
          <w:tcPr>
            <w:tcW w:type="dxa" w:w="6480"/>
          </w:tcPr>
          <w:p>
            <w:r>
              <w:rPr>
                <w:rFonts w:ascii="Arial" w:hAnsi="Arial"/>
                <w:sz w:val="20"/>
              </w:rPr>
              <w:t>Training video recordings (~70 MB) on volume profiles and market participant analysis</w:t>
            </w:r>
          </w:p>
        </w:tc>
      </w:tr>
      <w:tr>
        <w:tc>
          <w:tcPr>
            <w:tcW w:type="dxa" w:w="2160"/>
          </w:tcPr>
          <w:p>
            <w:r>
              <w:rPr>
                <w:rFonts w:ascii="Arial" w:hAnsi="Arial"/>
                <w:b/>
                <w:sz w:val="20"/>
              </w:rPr>
              <w:t>Quick reference cards/</w:t>
            </w:r>
          </w:p>
        </w:tc>
        <w:tc>
          <w:tcPr>
            <w:tcW w:type="dxa" w:w="6480"/>
          </w:tcPr>
          <w:p>
            <w:r>
              <w:rPr>
                <w:rFonts w:ascii="Arial" w:hAnsi="Arial"/>
                <w:sz w:val="20"/>
              </w:rPr>
              <w:t>Protocol summary cards (currently empty except temp files)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