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SECTIONPAGES Header/Footer Edge Case</w:t>
      </w:r>
    </w:p>
    <w:p>
      <w:r>
        <w:t>The matching section footers combine PAGE with a SECTIONPAGES field whose instruction is fragmented across run boundaries.</w:t>
      </w:r>
    </w:p>
    <w:p>
      <w:pPr>
        <w:pStyle w:val="Heading1"/>
      </w:pPr>
      <w:r>
        <w:t>Section one — only page</w:t>
      </w:r>
    </w:p>
    <w:p>
      <w:r>
        <w:t>First section content occupies one physical page.</w:t>
      </w:r>
    </w:p>
    <w:p>
      <w:pPr>
        <w:sectPr>
          <w:footerReference w:type="default" r:id="rId9"/>
          <w:pgSz w:w="12240" w:h="15840"/>
          <w:pgMar w:top="1008" w:right="1152" w:bottom="1008" w:left="1152" w:header="432" w:footer="432" w:gutter="0"/>
          <w:cols w:space="720"/>
          <w:docGrid w:linePitch="360"/>
        </w:sectPr>
      </w:pPr>
    </w:p>
    <w:p>
      <w:pPr>
        <w:pStyle w:val="Heading1"/>
      </w:pPr>
      <w:r>
        <w:t>Section two — only page</w:t>
      </w:r>
    </w:p>
    <w:p>
      <w:r>
        <w:t>Second section content occupies one physical page.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section </w:t>
    </w:r>
    <w:r>
      <w:fldChar w:fldCharType="begin"/>
    </w:r>
    <w:r>
      <w:instrText xml:space="preserve"> SECT</w:instrText>
    </w:r>
    <w:r>
      <w:instrText xml:space="preserve">IONPAGES </w:instrText>
    </w:r>
    <w:r>
      <w:fldChar w:fldCharType="separate"/>
    </w:r>
    <w:r>
      <w:t xml:space="preserve"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section </w:t>
    </w:r>
    <w:r>
      <w:fldChar w:fldCharType="begin"/>
    </w:r>
    <w:r>
      <w:instrText xml:space="preserve"> SECT</w:instrText>
    </w:r>
    <w:r>
      <w:instrText xml:space="preserve">IONPAGES </w:instrText>
    </w:r>
    <w:r>
      <w:fldChar w:fldCharType="separate"/>
    </w:r>
    <w:r>
      <w:t xml:space="preserve"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