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Crop Edge Cases</w:t>
      </w:r>
    </w:p>
    <w:p>
      <w:r>
        <w:t>DrawingML source cropping keeps the destination size while selecting an asymmetric bitmap region.</w:t>
      </w:r>
    </w:p>
    <w:p>
      <w:r>
        <w:drawing>
          <wp:inline xmlns:a="http://schemas.openxmlformats.org/drawingml/2006/main" xmlns:pic="http://schemas.openxmlformats.org/drawingml/2006/picture">
            <wp:extent cx="3291840" cy="1131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15000" t="5000" r="2500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Asymmetric crop: left 15%, top 5%, right 25%, bottom 10%.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