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Shared Border Conflicts</w:t>
      </w:r>
    </w:p>
    <w:p>
      <w:r>
        <w:t>Word keeps the visible side of a shared cell edge when its neighbor specifies nil or none. A later-painted hidden edge must not erase it.</w:t>
      </w:r>
    </w:p>
    <w:tbl>
      <w:tblPr>
        <w:tblStyle w:val="TableGrid"/>
        <w:tblW w:type="dxa" w:w="5040"/>
        <w:tblLayout w:type="fixed"/>
        <w:tblLook w:firstColumn="1" w:firstRow="1" w:lastColumn="0" w:lastRow="0" w:noHBand="0" w:noVBand="1" w:val="04A0"/>
      </w:tblPr>
      <w:tblGrid>
        <w:gridCol w:w="2520"/>
        <w:gridCol w:w="2520"/>
      </w:tblGrid>
      <w:tr>
        <w:tc>
          <w:tcPr>
            <w:tcW w:type="dxa" w:w="2520"/>
            <w:vAlign w:val="center"/>
            <w:tcBorders>
              <w:right w:val="double" w:sz="24" w:space="0" w:color="C00000"/>
            </w:tcBorders>
          </w:tcPr>
          <w:p>
            <w:pPr>
              <w:jc w:val="center"/>
            </w:pPr>
            <w:r>
              <w:t>RED DOUBLE →</w:t>
            </w:r>
          </w:p>
        </w:tc>
        <w:tc>
          <w:tcPr>
            <w:tcW w:type="dxa" w:w="2520"/>
            <w:vAlign w:val="center"/>
            <w:tcBorders>
              <w:left w:val="nil" w:sz="0" w:space="0" w:color="auto"/>
            </w:tcBorders>
          </w:tcPr>
          <w:p>
            <w:pPr>
              <w:jc w:val="center"/>
            </w:pPr>
            <w:r>
              <w:t>← NIL</w:t>
            </w:r>
          </w:p>
        </w:tc>
      </w:tr>
      <w:tr>
        <w:tc>
          <w:tcPr>
            <w:tcW w:type="dxa" w:w="2520"/>
            <w:vAlign w:val="center"/>
            <w:tcBorders>
              <w:right w:val="none" w:sz="0" w:space="0" w:color="auto"/>
            </w:tcBorders>
          </w:tcPr>
          <w:p>
            <w:pPr>
              <w:jc w:val="center"/>
            </w:pPr>
            <w:r>
              <w:t>NIL →</w:t>
            </w:r>
          </w:p>
        </w:tc>
        <w:tc>
          <w:tcPr>
            <w:tcW w:type="dxa" w:w="2520"/>
            <w:vAlign w:val="center"/>
            <w:tcBorders>
              <w:left w:val="dashed" w:sz="16" w:space="0" w:color="4472C4"/>
            </w:tcBorders>
          </w:tcPr>
          <w:p>
            <w:pPr>
              <w:jc w:val="center"/>
            </w:pPr>
            <w:r>
              <w:t>← BLUE DASHED</w:t>
            </w:r>
          </w:p>
        </w:tc>
      </w:tr>
      <w:tr>
        <w:tc>
          <w:tcPr>
            <w:tcW w:type="dxa" w:w="2520"/>
            <w:vAlign w:val="center"/>
            <w:tcBorders>
              <w:right w:val="single" w:sz="32" w:space="0" w:color="00B050"/>
            </w:tcBorders>
          </w:tcPr>
          <w:p>
            <w:pPr>
              <w:jc w:val="center"/>
            </w:pPr>
            <w:r>
              <w:t>GREEN 4PT SINGLE →</w:t>
            </w:r>
          </w:p>
        </w:tc>
        <w:tc>
          <w:tcPr>
            <w:tcW w:type="dxa" w:w="2520"/>
            <w:vAlign w:val="center"/>
            <w:tcBorders>
              <w:left w:val="double" w:sz="8" w:space="0" w:color="C00000"/>
            </w:tcBorders>
          </w:tcPr>
          <w:p>
            <w:pPr>
              <w:jc w:val="center"/>
            </w:pPr>
            <w:r>
              <w:t>← RED 1PT DOUBLE</w:t>
            </w:r>
          </w:p>
        </w:tc>
      </w:tr>
      <w:tr>
        <w:tc>
          <w:tcPr>
            <w:tcW w:type="dxa" w:w="2520"/>
            <w:vAlign w:val="center"/>
            <w:tcBorders>
              <w:right w:val="single" w:sz="24" w:space="0" w:color="4472C4"/>
            </w:tcBorders>
          </w:tcPr>
          <w:p>
            <w:pPr>
              <w:jc w:val="center"/>
            </w:pPr>
            <w:r>
              <w:t>BLUE 3PT SINGLE →</w:t>
            </w:r>
          </w:p>
        </w:tc>
        <w:tc>
          <w:tcPr>
            <w:tcW w:type="dxa" w:w="2520"/>
            <w:vAlign w:val="center"/>
            <w:tcBorders>
              <w:left w:val="double" w:sz="8" w:space="0" w:color="7030A0"/>
            </w:tcBorders>
          </w:tcPr>
          <w:p>
            <w:pPr>
              <w:jc w:val="center"/>
            </w:pPr>
            <w:r>
              <w:t>← PURPLE 1PT DOUBLE</w:t>
            </w:r>
          </w:p>
        </w:tc>
      </w:tr>
      <w:tr>
        <w:tc>
          <w:tcPr>
            <w:tcW w:type="dxa" w:w="2520"/>
            <w:vAlign w:val="center"/>
            <w:tcBorders>
              <w:right w:val="single" w:sz="8" w:space="0" w:color="FF0000"/>
            </w:tcBorders>
          </w:tcPr>
          <w:p>
            <w:pPr>
              <w:jc w:val="center"/>
            </w:pPr>
            <w:r>
              <w:t>RED 1PT SINGLE →</w:t>
            </w:r>
          </w:p>
        </w:tc>
        <w:tc>
          <w:tcPr>
            <w:tcW w:type="dxa" w:w="2520"/>
            <w:vAlign w:val="center"/>
            <w:tcBorders>
              <w:left w:val="single" w:sz="8" w:space="0" w:color="0000FF"/>
            </w:tcBorders>
          </w:tcPr>
          <w:p>
            <w:pPr>
              <w:jc w:val="center"/>
            </w:pPr>
            <w:r>
              <w:t>← BLUE 1PT SINGLE</w:t>
            </w:r>
          </w:p>
        </w:tc>
      </w:tr>
    </w:tbl>
    <w:p>
      <w:r>
        <w:t>Expected top to bottom: red double, blue dashed, green 4pt single (higher weight), purple 1pt double (equal-weight style winner), and red 1pt single (color brightness winner).</w:t>
      </w:r>
    </w:p>
    <w:tbl>
      <w:tblPr>
        <w:tblStyle w:val="TableGrid"/>
        <w:tblW w:type="dxa" w:w="5040"/>
        <w:tblLayout w:type="fixed"/>
        <w:tblLook w:firstColumn="1" w:firstRow="1" w:lastColumn="0" w:lastRow="0" w:noHBand="0" w:noVBand="1" w:val="04A0"/>
      </w:tblPr>
      <w:tblGrid>
        <w:gridCol w:w="2520"/>
        <w:gridCol w:w="2520"/>
      </w:tblGrid>
      <w:tr>
        <w:tc>
          <w:tcPr>
            <w:tcW w:type="dxa" w:w="2520"/>
            <w:vAlign w:val="center"/>
            <w:tcBorders>
              <w:bottom w:val="single" w:sz="32" w:space="0" w:color="00B050"/>
            </w:tcBorders>
          </w:tcPr>
          <w:p>
            <w:pPr>
              <w:jc w:val="center"/>
            </w:pPr>
            <w:r>
              <w:t>GREEN 4PT BOTTOM ↓</w:t>
            </w:r>
          </w:p>
        </w:tc>
        <w:tc>
          <w:tcPr>
            <w:tcW w:type="dxa" w:w="2520"/>
            <w:vAlign w:val="center"/>
            <w:tcBorders>
              <w:bottom w:val="single" w:sz="24" w:space="0" w:color="4472C4"/>
            </w:tcBorders>
          </w:tcPr>
          <w:p>
            <w:pPr>
              <w:jc w:val="center"/>
            </w:pPr>
            <w:r>
              <w:t>BLUE 3PT BOTTOM ↓</w:t>
            </w:r>
          </w:p>
        </w:tc>
      </w:tr>
      <w:tr>
        <w:tc>
          <w:tcPr>
            <w:tcW w:type="dxa" w:w="2520"/>
            <w:vAlign w:val="center"/>
            <w:tcBorders>
              <w:top w:val="double" w:sz="8" w:space="0" w:color="C00000"/>
            </w:tcBorders>
          </w:tcPr>
          <w:p>
            <w:pPr>
              <w:jc w:val="center"/>
            </w:pPr>
            <w:r>
              <w:t>↑ RED 1PT DOUBLE TOP</w:t>
            </w:r>
          </w:p>
        </w:tc>
        <w:tc>
          <w:tcPr>
            <w:tcW w:type="dxa" w:w="2520"/>
            <w:vAlign w:val="center"/>
            <w:tcBorders>
              <w:top w:val="double" w:sz="8" w:space="0" w:color="7030A0"/>
            </w:tcBorders>
          </w:tcPr>
          <w:p>
            <w:pPr>
              <w:jc w:val="center"/>
            </w:pPr>
            <w:r>
              <w:t>↑ PURPLE 1PT DOUBLE TOP</w:t>
            </w:r>
          </w:p>
        </w:tc>
      </w:tr>
    </w:tbl>
    <w:p>
      <w:r>
        <w:t>Expected horizontal shared edges: green 4pt single on the left and purple 1pt double on the right. The result must not depend on the lower row painting after the upper row.</w:t>
      </w:r>
    </w:p>
    <w:tbl>
      <w:tblPr>
        <w:tblStyle w:val="TableGrid"/>
        <w:tblW w:type="dxa" w:w="5040"/>
        <w:tblLayout w:type="fixed"/>
        <w:tblLook w:firstColumn="1" w:firstRow="1" w:lastColumn="0" w:lastRow="0" w:noHBand="0" w:noVBand="1" w:val="04A0"/>
      </w:tblPr>
      <w:tblGrid>
        <w:gridCol w:w="2016"/>
        <w:gridCol w:w="3024"/>
      </w:tblGrid>
      <w:tr>
        <w:tc>
          <w:tcPr>
            <w:tcW w:type="dxa" w:w="5040"/>
            <w:gridSpan w:val="2"/>
            <w:vAlign w:val="center"/>
            <w:tcBorders>
              <w:bottom w:val="single" w:sz="8" w:space="0" w:color="4472C4"/>
            </w:tcBorders>
          </w:tcPr>
          <w:p>
            <w:pPr>
              <w:jc w:val="center"/>
            </w:pPr>
            <w:r>
              <w:t>BLUE 1PT SINGLE SPANS BOTH COLUMNS ↓</w:t>
            </w:r>
          </w:p>
        </w:tc>
      </w:tr>
      <w:tr>
        <w:tc>
          <w:tcPr>
            <w:tcW w:type="dxa" w:w="2016"/>
            <w:vAlign w:val="center"/>
            <w:tcBorders>
              <w:top w:val="single" w:sz="32" w:space="0" w:color="00B050"/>
            </w:tcBorders>
          </w:tcPr>
          <w:p>
            <w:pPr>
              <w:jc w:val="center"/>
            </w:pPr>
            <w:r>
              <w:t>↑ GREEN 4PT TOP (40%)</w:t>
            </w:r>
          </w:p>
        </w:tc>
        <w:tc>
          <w:tcPr>
            <w:tcW w:type="dxa" w:w="3024"/>
            <w:vAlign w:val="center"/>
            <w:tcBorders>
              <w:top w:val="double" w:sz="8" w:space="0" w:color="7030A0"/>
            </w:tcBorders>
          </w:tcPr>
          <w:p>
            <w:pPr>
              <w:jc w:val="center"/>
            </w:pPr>
            <w:r>
              <w:t>↑ PURPLE 1PT DOUBLE TOP (60%)</w:t>
            </w:r>
          </w:p>
        </w:tc>
      </w:tr>
    </w:tbl>
    <w:p>
      <w:r>
        <w:t>Expected segmented edge: the spanning cell's bottom is green single for the left 40% and purple double for the right 60%. No blue portion remains on the shared boundary.</w:t>
      </w:r>
    </w:p>
    <w:tbl>
      <w:tblPr>
        <w:tblStyle w:val="TableGrid"/>
        <w:tblW w:type="dxa" w:w="5040"/>
        <w:tblLayout w:type="fixed"/>
        <w:tblLook w:firstColumn="1" w:firstRow="1" w:lastColumn="0" w:lastRow="0" w:noHBand="0" w:noVBand="1" w:val="04A0"/>
        <w:bidiVisual/>
      </w:tblPr>
      <w:tblGrid>
        <w:gridCol w:w="2520"/>
        <w:gridCol w:w="2520"/>
      </w:tblGrid>
      <w:tr>
        <w:tc>
          <w:tcPr>
            <w:tcW w:type="dxa" w:w="2520"/>
            <w:vAlign w:val="center"/>
            <w:tcBorders>
              <w:end w:val="double" w:sz="20" w:space="0" w:color="00B050"/>
            </w:tcBorders>
          </w:tcPr>
          <w:p>
            <w:pPr>
              <w:jc w:val="center"/>
            </w:pPr>
            <w:r>
              <w:t>LOGICAL FIRST: GREEN END</w:t>
            </w:r>
          </w:p>
        </w:tc>
        <w:tc>
          <w:tcPr>
            <w:tcW w:type="dxa" w:w="2520"/>
            <w:vAlign w:val="center"/>
            <w:tcBorders>
              <w:start w:val="nil" w:sz="0" w:space="0" w:color="auto"/>
            </w:tcBorders>
          </w:tcPr>
          <w:p>
            <w:pPr>
              <w:jc w:val="center"/>
            </w:pPr>
            <w:r>
              <w:t>LOGICAL SECOND: NIL START</w:t>
            </w:r>
          </w:p>
        </w:tc>
      </w:tr>
    </w:tbl>
    <w:p>
      <w:r>
        <w:t>Expected RTL: logical cells mirror physically, but their shared edge remains green double instead of the second logical cell's nil edge.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