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Cell Spacing</w:t>
      </w:r>
    </w:p>
    <w:p>
      <w:r>
        <w:t>The first row inherits 7.2pt spacing, the second overrides it to 3pt, the third receives a 6pt table-property exception with asymmetric cell margins and yellow shading, and the fourth explicitly collapses spacing to zero. Blue is the table default; green and peach cells directly override inherited shading. Ordinary rows use a blue center border while the exception row replaces it with a red double border. The overall table width remains fixed in every row.</w:t>
      </w:r>
    </w:p>
    <w:tbl>
      <w:tblPr>
        <w:tblW w:type="dxa" w:w="6480"/>
        <w:tblLayout w:type="fixed"/>
        <w:tblLook w:firstColumn="1" w:firstRow="1" w:lastColumn="0" w:lastRow="0" w:noHBand="0" w:noVBand="1" w:val="04A0"/>
        <w:tblCellSpacing w:w="144" w:type="dxa"/>
        <w:shd w:val="clear" w:fill="DDEBF7"/>
        <w:tblBorders>
          <w:insideV w:val="single" w:sz="8" w:space="0" w:color="4472C4"/>
        </w:tblBorders>
      </w:tblPr>
      <w:tblGrid>
        <w:gridCol w:w="3240"/>
        <w:gridCol w:w="3240"/>
      </w:tblGrid>
      <w:tr>
        <w:tc>
          <w:tcPr>
            <w:tcW w:type="dxa" w:w="3240"/>
            <w:vAlign w:val="center"/>
          </w:tcPr>
          <w:p>
            <w:r>
              <w:t>TABLE 7.2PT — LEFT / wrapping text verifies the inner width</w:t>
            </w:r>
          </w:p>
        </w:tc>
        <w:tc>
          <w:tcPr>
            <w:tcW w:type="dxa" w:w="3240"/>
            <w:vAlign w:val="center"/>
          </w:tcPr>
          <w:p>
            <w:r>
              <w:t>TABLE 7.2PT — RIGHT / wrapping text verifies the inner width</w:t>
            </w:r>
          </w:p>
        </w:tc>
      </w:tr>
      <w:tr>
        <w:trPr>
          <w:tblCellSpacing w:w="60" w:type="dxa"/>
        </w:trPr>
        <w:tc>
          <w:tcPr>
            <w:tcW w:type="dxa" w:w="3240"/>
            <w:vAlign w:val="center"/>
            <w:shd w:val="clear" w:fill="E2F0D9"/>
          </w:tcPr>
          <w:p>
            <w:r>
              <w:t>ROW 3PT — LEFT / wrapping text verifies the inner width</w:t>
            </w:r>
          </w:p>
        </w:tc>
        <w:tc>
          <w:tcPr>
            <w:tcW w:type="dxa" w:w="3240"/>
            <w:vAlign w:val="center"/>
          </w:tcPr>
          <w:p>
            <w:r>
              <w:t>ROW 3PT — RIGHT / wrapping text verifies the inner width</w:t>
            </w:r>
          </w:p>
        </w:tc>
      </w:tr>
      <w:tr>
        <w:tblPrEx>
          <w:tblCellSpacing w:w="120" w:type="dxa"/>
          <w:tblCellMar>
            <w:start w:w="360" w:type="dxa"/>
            <w:end w:w="40" w:type="dxa"/>
            <w:top w:w="120" w:type="dxa"/>
            <w:bottom w:w="40" w:type="dxa"/>
          </w:tblCellMar>
          <w:shd w:val="clear" w:fill="FFF2CC"/>
          <w:tblBorders>
            <w:insideV w:val="double" w:sz="16" w:space="0" w:color="C00000"/>
          </w:tblBorders>
        </w:tblPrEx>
        <w:tc>
          <w:tcPr>
            <w:tcW w:type="dxa" w:w="3240"/>
            <w:vAlign w:val="center"/>
          </w:tcPr>
          <w:p>
            <w:r>
              <w:t>EXCEPTION 6PT + RED BORDER / wrapping text verifies the inner width</w:t>
            </w:r>
          </w:p>
        </w:tc>
        <w:tc>
          <w:tcPr>
            <w:tcW w:type="dxa" w:w="3240"/>
            <w:vAlign w:val="center"/>
            <w:shd w:val="clear" w:fill="FCE4D6"/>
          </w:tcPr>
          <w:p>
            <w:r>
              <w:t>EXCEPTION 6PT + RED BORDER / wrapping text verifies the inner width</w:t>
            </w:r>
          </w:p>
        </w:tc>
      </w:tr>
      <w:tr>
        <w:trPr>
          <w:tblCellSpacing w:w="0" w:type="nil"/>
        </w:trPr>
        <w:tc>
          <w:tcPr>
            <w:tcW w:type="dxa" w:w="3240"/>
            <w:vAlign w:val="center"/>
          </w:tcPr>
          <w:p>
            <w:r>
              <w:t>ROW NIL — LEFT / wrapping text verifies the inner width</w:t>
            </w:r>
          </w:p>
        </w:tc>
        <w:tc>
          <w:tcPr>
            <w:tcW w:type="dxa" w:w="3240"/>
            <w:vAlign w:val="center"/>
          </w:tcPr>
          <w:p>
            <w:r>
              <w:t>ROW NIL — RIGHT / wrapping text verifies the inner width</w:t>
            </w:r>
          </w:p>
        </w:tc>
      </w:tr>
    </w:tbl>
    <w:p>
      <w:r>
        <w:t>Inherited and directly overridden cell colors make shading precedence visible; blue and red center rules show border exceptions. The outer grid width must stay aligned across all four rows.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