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Floating Table Inline Vertical Alignment</w:t>
      </w:r>
    </w:p>
    <w:p>
      <w:r>
        <w:t>This paragraph deliberately establishes a visible body-flow anchor. The green table uses a page vertical anchor, but tblpYSpec is inline, so its top border must remain below this paragraph instead of moving to the top edge of the page.</w:t>
      </w:r>
    </w:p>
    <w:tbl>
      <w:tblPr>
        <w:tblpPr w:horzAnchor="margin" w:vertAnchor="page" w:tblpXSpec="right" w:tblpYSpec="inline" w:tblpY="3600"/>
        <w:tblStyle w:val="TableGrid"/>
        <w:tblW w:type="dxa" w:w="2880"/>
        <w:jc w:val="left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2880"/>
            <w:shd w:val="clear" w:color="auto" w:fill="E2F0D9"/>
          </w:tcPr>
          <w:p>
            <w:pPr>
              <w:jc w:val="center"/>
            </w:pPr>
            <w:r>
              <w:t>INLINE: KEEP LOGICAL Y</w:t>
            </w:r>
          </w:p>
        </w:tc>
      </w:tr>
    </w:tbl>
    <w:p>
      <w:r>
        <w:t>Expected: the green table is right-aligned and remains between the two body paragraphs. It must not overlap the title or jump to 180pt.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