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Cell End Marker Height</w:t>
      </w:r>
    </w:p>
    <w:p>
      <w:r>
        <w:t>Both bands contain no printable text and use identical cell margins. The blue band keeps Word's end-of-cell marker; the gold band excludes it with w:hideMark and must collapse to its padding/border height.</w:t>
      </w:r>
    </w:p>
    <w:tbl>
      <w:tblPr>
        <w:tblStyle w:val="TableGrid"/>
        <w:tblW w:type="dxa" w:w="5040"/>
        <w:tblLayout w:type="fixed"/>
        <w:tblLook w:firstColumn="1" w:firstRow="1" w:lastColumn="0" w:lastRow="0" w:noHBand="0" w:noVBand="1" w:val="04A0"/>
      </w:tblPr>
      <w:tblGrid>
        <w:gridCol w:w="2520"/>
        <w:gridCol w:w="2520"/>
      </w:tblGrid>
      <w:tr>
        <w:tc>
          <w:tcPr>
            <w:tcW w:type="dxa" w:w="2520"/>
            <w:shd w:val="clear" w:color="auto" w:fill="D9EAF7"/>
          </w:tcPr>
          <w:p/>
        </w:tc>
        <w:tc>
          <w:tcPr>
            <w:tcW w:type="dxa" w:w="2520"/>
            <w:shd w:val="clear" w:color="auto" w:fill="D9EAF7"/>
          </w:tcPr>
          <w:p/>
        </w:tc>
      </w:tr>
      <w:tr>
        <w:tc>
          <w:tcPr>
            <w:tcW w:type="dxa" w:w="2520"/>
            <w:shd w:val="clear" w:color="auto" w:fill="FFE699"/>
            <w:hideMark/>
          </w:tcPr>
          <w:p/>
        </w:tc>
        <w:tc>
          <w:tcPr>
            <w:tcW w:type="dxa" w:w="2520"/>
            <w:shd w:val="clear" w:color="auto" w:fill="FFE699"/>
            <w:hideMark/>
          </w:tcPr>
          <w:p/>
        </w:tc>
      </w:tr>
    </w:tbl>
    <w:p>
      <w:r>
        <w:t>Expected: the gold second band is visibly shorter than the blue first band; neither band contains a text line.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