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1"/>
        <w:shd w:val="clear" w:color="auto" w:fill="ffffff"/>
        <w:jc w:val="center"/>
        <w:rPr>
          <w:rFonts w:ascii="ＭＳ 明朝" w:cs="ＭＳ 明朝" w:hAnsi="ＭＳ 明朝" w:eastAsia="ＭＳ 明朝"/>
          <w:outline w:val="0"/>
          <w:color w:val="000000"/>
          <w:kern w:val="0"/>
          <w:u w:color="000000"/>
          <w:lang w:val="ja-JP" w:eastAsia="ja-JP"/>
          <w14:textFill>
            <w14:solidFill>
              <w14:srgbClr w14:val="000000"/>
            </w14:solidFill>
          </w14:textFill>
        </w:rPr>
      </w:pPr>
    </w:p>
    <w:p>
      <w:pPr>
        <w:pStyle w:val="Normal.0"/>
        <w:widowControl w:val="1"/>
        <w:shd w:val="clear" w:color="auto" w:fill="ffffff"/>
        <w:ind w:left="960" w:hanging="240"/>
        <w:jc w:val="left"/>
        <w:rPr>
          <w:rFonts w:ascii="ＭＳ 明朝" w:cs="ＭＳ 明朝" w:hAnsi="ＭＳ 明朝" w:eastAsia="ＭＳ 明朝"/>
          <w:outline w:val="0"/>
          <w:color w:val="000000"/>
          <w:kern w:val="0"/>
          <w:u w:color="000000"/>
          <w14:textFill>
            <w14:solidFill>
              <w14:srgbClr w14:val="000000"/>
            </w14:solidFill>
          </w14:textFill>
        </w:rPr>
      </w:pPr>
      <w:r>
        <w:rPr>
          <w:rFonts w:ascii="ＭＳ 明朝" w:cs="ＭＳ 明朝" w:hAnsi="ＭＳ 明朝" w:eastAsia="ＭＳ 明朝"/>
          <w:outline w:val="0"/>
          <w:color w:val="000000"/>
          <w:kern w:val="0"/>
          <w:u w:color="000000"/>
          <w:rtl w:val="0"/>
          <w:lang w:val="en-US"/>
          <w14:textFill>
            <w14:solidFill>
              <w14:srgbClr w14:val="000000"/>
            </w14:solidFill>
          </w14:textFill>
        </w:rPr>
        <w:t>○</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横浜市市税条例</w:t>
      </w:r>
    </w:p>
    <w:p>
      <w:pPr>
        <w:pStyle w:val="Normal.0"/>
        <w:widowControl w:val="1"/>
        <w:shd w:val="clear" w:color="auto" w:fill="ffffff"/>
        <w:jc w:val="right"/>
        <w:rPr>
          <w:rFonts w:ascii="ＭＳ 明朝" w:cs="ＭＳ 明朝" w:hAnsi="ＭＳ 明朝" w:eastAsia="ＭＳ 明朝"/>
          <w:outline w:val="0"/>
          <w:color w:val="000000"/>
          <w:kern w:val="0"/>
          <w:u w:color="000000"/>
          <w14:textFill>
            <w14:solidFill>
              <w14:srgbClr w14:val="000000"/>
            </w14:solidFill>
          </w14:textFill>
        </w:rPr>
      </w:pP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昭和</w:t>
      </w:r>
      <w:r>
        <w:rPr>
          <w:rFonts w:ascii="ＭＳ 明朝" w:cs="ＭＳ 明朝" w:hAnsi="ＭＳ 明朝" w:eastAsia="ＭＳ 明朝"/>
          <w:outline w:val="0"/>
          <w:color w:val="000000"/>
          <w:kern w:val="0"/>
          <w:u w:color="000000"/>
          <w:rtl w:val="0"/>
          <w:lang w:val="en-US"/>
          <w14:textFill>
            <w14:solidFill>
              <w14:srgbClr w14:val="000000"/>
            </w14:solidFill>
          </w14:textFill>
        </w:rPr>
        <w:t>25</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年</w:t>
      </w:r>
      <w:r>
        <w:rPr>
          <w:rFonts w:ascii="ＭＳ 明朝" w:cs="ＭＳ 明朝" w:hAnsi="ＭＳ 明朝" w:eastAsia="ＭＳ 明朝"/>
          <w:outline w:val="0"/>
          <w:color w:val="000000"/>
          <w:kern w:val="0"/>
          <w:u w:color="000000"/>
          <w:rtl w:val="0"/>
          <w:lang w:val="en-US"/>
          <w14:textFill>
            <w14:solidFill>
              <w14:srgbClr w14:val="000000"/>
            </w14:solidFill>
          </w14:textFill>
        </w:rPr>
        <w:t>8</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月</w:t>
      </w:r>
      <w:r>
        <w:rPr>
          <w:rFonts w:ascii="ＭＳ 明朝" w:cs="ＭＳ 明朝" w:hAnsi="ＭＳ 明朝" w:eastAsia="ＭＳ 明朝"/>
          <w:outline w:val="0"/>
          <w:color w:val="000000"/>
          <w:kern w:val="0"/>
          <w:u w:color="000000"/>
          <w:rtl w:val="0"/>
          <w:lang w:val="en-US"/>
          <w14:textFill>
            <w14:solidFill>
              <w14:srgbClr w14:val="000000"/>
            </w14:solidFill>
          </w14:textFill>
        </w:rPr>
        <w:t>11</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日</w:t>
      </w:r>
    </w:p>
    <w:p>
      <w:pPr>
        <w:pStyle w:val="Normal.0"/>
        <w:widowControl w:val="1"/>
        <w:shd w:val="clear" w:color="auto" w:fill="ffffff"/>
        <w:jc w:val="right"/>
        <w:rPr>
          <w:rFonts w:ascii="ＭＳ 明朝" w:cs="ＭＳ 明朝" w:hAnsi="ＭＳ 明朝" w:eastAsia="ＭＳ 明朝"/>
          <w:outline w:val="0"/>
          <w:color w:val="000000"/>
          <w:kern w:val="0"/>
          <w:u w:color="000000"/>
          <w14:textFill>
            <w14:solidFill>
              <w14:srgbClr w14:val="000000"/>
            </w14:solidFill>
          </w14:textFill>
        </w:rPr>
      </w:pP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条例第</w:t>
      </w:r>
      <w:r>
        <w:rPr>
          <w:rFonts w:ascii="ＭＳ 明朝" w:cs="ＭＳ 明朝" w:hAnsi="ＭＳ 明朝" w:eastAsia="ＭＳ 明朝"/>
          <w:outline w:val="0"/>
          <w:color w:val="000000"/>
          <w:kern w:val="0"/>
          <w:u w:color="000000"/>
          <w:rtl w:val="0"/>
          <w:lang w:val="en-US"/>
          <w14:textFill>
            <w14:solidFill>
              <w14:srgbClr w14:val="000000"/>
            </w14:solidFill>
          </w14:textFill>
        </w:rPr>
        <w:t>34</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号</w:t>
      </w:r>
    </w:p>
    <w:p>
      <w:pPr>
        <w:pStyle w:val="Normal.0"/>
        <w:widowControl w:val="1"/>
        <w:shd w:val="clear" w:color="auto" w:fill="ffffff"/>
        <w:jc w:val="right"/>
        <w:rPr>
          <w:rFonts w:ascii="ＭＳ 明朝" w:cs="ＭＳ 明朝" w:hAnsi="ＭＳ 明朝" w:eastAsia="ＭＳ 明朝"/>
          <w:outline w:val="0"/>
          <w:color w:val="000000"/>
          <w:kern w:val="0"/>
          <w:u w:color="000000"/>
          <w14:textFill>
            <w14:solidFill>
              <w14:srgbClr w14:val="000000"/>
            </w14:solidFill>
          </w14:textFill>
        </w:rPr>
      </w:pP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注　昭和</w:t>
      </w:r>
      <w:r>
        <w:rPr>
          <w:rFonts w:ascii="ＭＳ 明朝" w:cs="ＭＳ 明朝" w:hAnsi="ＭＳ 明朝" w:eastAsia="ＭＳ 明朝"/>
          <w:outline w:val="0"/>
          <w:color w:val="000000"/>
          <w:kern w:val="0"/>
          <w:u w:color="000000"/>
          <w:rtl w:val="0"/>
          <w:lang w:val="en-US"/>
          <w14:textFill>
            <w14:solidFill>
              <w14:srgbClr w14:val="000000"/>
            </w14:solidFill>
          </w14:textFill>
        </w:rPr>
        <w:t>60</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年</w:t>
      </w:r>
      <w:r>
        <w:rPr>
          <w:rFonts w:ascii="ＭＳ 明朝" w:cs="ＭＳ 明朝" w:hAnsi="ＭＳ 明朝" w:eastAsia="ＭＳ 明朝"/>
          <w:outline w:val="0"/>
          <w:color w:val="000000"/>
          <w:kern w:val="0"/>
          <w:u w:color="000000"/>
          <w:rtl w:val="0"/>
          <w:lang w:val="en-US"/>
          <w14:textFill>
            <w14:solidFill>
              <w14:srgbClr w14:val="000000"/>
            </w14:solidFill>
          </w14:textFill>
        </w:rPr>
        <w:t>3</w:t>
      </w: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月から改正経過を注記した。</w:t>
      </w:r>
    </w:p>
    <w:p>
      <w:pPr>
        <w:pStyle w:val="Normal.0"/>
        <w:widowControl w:val="1"/>
        <w:shd w:val="clear" w:color="auto" w:fill="ffffff"/>
        <w:ind w:firstLine="240"/>
        <w:jc w:val="left"/>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pPr>
      <w:r>
        <w:rPr>
          <w:rFonts w:ascii="ＭＳ 明朝" w:cs="ＭＳ 明朝" w:hAnsi="ＭＳ 明朝" w:eastAsia="ＭＳ 明朝"/>
          <w:outline w:val="0"/>
          <w:color w:val="000000"/>
          <w:kern w:val="0"/>
          <w:u w:color="000000"/>
          <w:rtl w:val="0"/>
          <w:lang w:val="ja-JP" w:eastAsia="ja-JP"/>
          <w14:textFill>
            <w14:solidFill>
              <w14:srgbClr w14:val="000000"/>
            </w14:solidFill>
          </w14:textFill>
        </w:rPr>
        <w:t>市会の議決を経て、</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"https://cgi.city.yokohama.lg.jp/somu/reiki/reiki_honbun/g202RG00000570.html#l000000000"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横浜市市税条例</w:t>
      </w:r>
      <w:r>
        <w:rPr>
          <w:lang w:val="ja-JP" w:eastAsia="ja-JP"/>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を次のように定める。</w:t>
      </w:r>
    </w:p>
    <w:p>
      <w:pPr>
        <w:pStyle w:val="Normal.0"/>
        <w:widowControl w:val="1"/>
        <w:shd w:val="clear" w:color="auto" w:fill="ffffff"/>
        <w:ind w:left="720" w:firstLine="0"/>
        <w:jc w:val="left"/>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横浜市市税条例</w:t>
      </w:r>
    </w:p>
    <w:p>
      <w:pPr>
        <w:pStyle w:val="Normal.0"/>
        <w:widowControl w:val="1"/>
        <w:shd w:val="clear" w:color="auto" w:fill="ffffff"/>
        <w:jc w:val="left"/>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目次</w:t>
      </w:r>
    </w:p>
    <w:p>
      <w:pPr>
        <w:pStyle w:val="Normal.0"/>
        <w:widowControl w:val="1"/>
        <w:shd w:val="clear" w:color="auto" w:fill="ffffff"/>
        <w:ind w:left="120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章　総則</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120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章　普通税</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市民税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固定資産税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軽自動車税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81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市たばこ税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81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削除</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特別土地保有税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120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章　目的税</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入湯税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事業所税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13)</w:t>
      </w:r>
    </w:p>
    <w:p>
      <w:pPr>
        <w:pStyle w:val="Normal.0"/>
        <w:widowControl w:val="1"/>
        <w:shd w:val="clear" w:color="auto" w:fill="ffffff"/>
        <w:ind w:left="144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節　都市計画税</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130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135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1200" w:hanging="960"/>
        <w:jc w:val="left"/>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附則</w:t>
      </w:r>
    </w:p>
    <w:p>
      <w:pPr>
        <w:pStyle w:val="Normal.0"/>
        <w:widowControl w:val="1"/>
        <w:shd w:val="clear" w:color="auto" w:fill="ffffff"/>
        <w:ind w:left="1680" w:hanging="96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章　総則</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課税の根拠</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市税及びその賦課徴収については、地方税法</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昭和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年法律第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226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号。以下「法」という。</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その他別に定めがあるもののほか、この条例の定めるところによる。</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用語の意義</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この条例における</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"https://cgi.city.yokohama.lg.jp/somu/reiki/reiki_honbun/g202RG00000570.html#e000000609"</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次の各号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に掲げる用語の意義は、それぞれ</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"https://cgi.city.yokohama.lg.jp/somu/reiki/reiki_honbun/g202RG00000570.html#e000000609"</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当該各号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に定めるところによる。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徴税吏員　市長又はその委任を受けた市職員をいう。</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徴収金　市税並びにその延滞金、過少申告加算金、不申告加算金、重加算金及び滞納処分費をいう。</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納付書　市が作成する用紙により、納税者がその納付すべき徴収金額並びに住所、氏名又は名称その他納付について必要な事項を記載した文書をいう。</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納入書　市が作成する用紙により、特別徴収義務者がその納入すべき納入金額並びに住所、氏名又は名称その他納入について必要な事項を記載した文書をいう。</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税目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市税として課する普通税は、次に掲げるものとする。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市民税</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固定資産税</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軽自動車税</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市たばこ税</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特別土地保有税</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市税として課する目的税は、次に掲げるものとする。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入湯税</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事業所税</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都市計画税</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平元条例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申告書等の提出方法</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市税の賦課徴収に関し、市長に提出すべき申告書、報告書又は申請書等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規則で定めるものを除く。</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は、すべて納税地所管の区長を経由しなければならない。</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削除</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賦課もれ等による徴収金の取扱</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賦課もれによる徴収金又は詐偽その他不正の行為により免かれた徴収金については、賦課すべきであった徴収金の全額を直ちに賦課し、及び徴収する。</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徴収猶予に係る徴収金の分割納付又は分割納入の方法</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項及び第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項に規定する条例で定める方法は、同条第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項に規定する徴収の猶予</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以下この章において「徴収の猶予」という。</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又は同条第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項に規定する徴収の猶予期間の延長</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以下この章において「徴収の猶予期間の延長」という。</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に係る金額をその期間内の各月</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市長がやむを得ない事情があると認めるときは、その期間内の市長が指定する月</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に分割して納付し、又は納入させる方法とする。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市長は、法第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項又は第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の規定により、徴収の猶予又は徴収の猶予期間の延長に係る徴収金を分割して納付し、又は納入させる場合においては、当該分割納付又は分割納入の各納付期限又は各納入期限及び各納付期限又は各納入期限ごとの納付金額又は納入金額を定めるもの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市長は、徴収の猶予又は徴収の猶予期間の延長を受けた者がその納付期限又は納入期限までに納付し、又は納入することができないことにつきやむを得ない理由があると認めるときは、</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"https://cgi.city.yokohama.lg.jp/somu/reiki/reiki_honbun/g202RG00000570.html#e000000690"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前項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の規定により定めた分割納付又は分割納入の各納付期限又は各納入期限及び各納付期限又は各納入期限ごとの納付金額又は納入金額を変更することができる。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市長は、</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"https://cgi.city.yokohama.lg.jp/somu/reiki/reiki_honbun/g202RG00000570.html#e000000690"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り分割納付又は分割納入の各納付期限又は各納入期限及び各納付期限又は各納入期限ごとの納付金額又は納入金額を定めたときは、その旨、当該分割納付又は分割納入の各納付期限又は各納入期限及び各納付期限又は各納入期限ごとの納付金額又は納入金額その他必要な事項を当該徴収の猶予又は当該徴収の猶予期間の延長を受けた者に通知しなければならない。</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市長は、</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"https://cgi.city.yokohama.lg.jp/somu/reiki/reiki_honbun/g202RG00000570.html#e000000695"</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3</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り分割納付又は分割納入の各納付期限又は各納入期限及び各納付期限又は各納入期限ごとの納付金額又は納入金額を変更したときは、その旨、その変更後の各納付期限又は各納入期限及び各納付期限又は各納入期限ごとの納付金額又は納入金額その他必要な事項を当該延長を受けた者に通知しなければならない。</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・全改</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徴収猶予の申請手続等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項に規定する条例で定める事項は、次に掲げる事項とする。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項各号のいずれかに該当する事実があること及びその該当する事実に基づき当該徴収の猶予に係る徴収金を一時に納付し、又は納入することができない事情の詳細</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納付し、又は納入すべき徴収金の年度、税目、納期限及び金額</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"https://cgi.city.yokohama.lg.jp/somu/reiki/reiki_honbun/g202RG00000570.html#e000000719"</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前号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の金額のうち当該徴収の猶予を受けようとする金額</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当該徴収の猶予を受けようとする期間</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分割納付又は分割納入の方法により納付し、又は納入するかどうか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分割納付又は分割納入の方法により納付し、又は納入する場合にあっては、分割納付又は分割納入の各納付期限又は各納入期限及び各納付期限又は各納入期限ごとの納付金額又は納入金額を含む。</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当該徴収の猶予を受けようとする金額が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1,000,000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円を超え、かつ、その期間が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月を超える場合には、提供しようとする法第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項各号に掲げる担保の種類、数量、価額及び所在</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その担保が保証人の保証であるときは、保証人の氏名及び住所又は居所</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その他担保に関し参考となるべき事項</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担保を提供することができない特別の事情があるときは、その事情</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項に規定する条例で定める書類は、次に掲げる書類とする。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項各号のいずれかに該当する事実を証するに足りる書類</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財産目録その他の資産及び負債の状況を明らかにする書類</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当該徴収の猶予を受けようとする日前</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年間の収入及び支出の実績並びに同日以後の収入及び支出の見込みを明らかにする書類</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当該徴収の猶予を受けようとする金額が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1,000,000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円を超え、かつ、その期間が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月を超える場合には、地方税法施行令</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昭和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年政令第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245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号。以下「政令」という。</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の規定により提出すべき書類その他担保の提供に関し必要となる書類</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項に規定する条例で定める事項は、次に掲げる事項とする。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当該徴収の猶予に係る徴収金を一時に納付し、又は納入することができない事情の詳細</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"https://cgi.city.yokohama.lg.jp/somu/reiki/reiki_honbun/g202RG00000570.html#e000000719"</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1</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から</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"https://cgi.city.yokohama.lg.jp/somu/reiki/reiki_honbun/g202RG00000570.html#e000000732"</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6</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までに掲げる事項</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項及び第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項に規定する条例で定める書類は、</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"https://cgi.city.yokohama.lg.jp/somu/reiki/reiki_honbun/g202RG00000570.html#e000000744"</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から</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"https://cgi.city.yokohama.lg.jp/somu/reiki/reiki_honbun/g202RG00000570.html#e000000750"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4</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までに掲げる書類とする。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項に規定する条例で定める事項は、次に掲げる事項とする。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徴収の猶予を受けた期間内に当該徴収の猶予を受けた金額を納付し、又は納入することができないやむを得ない理由</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当該徴収の猶予期間の延長を受けようとする期間</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当該徴収の猶予期間の延長を受けようとする徴収金の年度、税目、納期限及び金額</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"https://cgi.city.yokohama.lg.jp/somu/reiki/reiki_honbun/g202RG00000570.html#e000000729"</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1</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5</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及び</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"https://cgi.city.yokohama.lg.jp/somu/reiki/reiki_honbun/g202RG00000570.html#e000000732"</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6</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に掲げる事項</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項に規定する条例で定める書類は、</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"https://cgi.city.yokohama.lg.jp/somu/reiki/reiki_honbun/g202RG00000570.html#e000000750"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4</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に掲げる書類とする。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項に規定する条例で定める期間は、同条第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項の規定による通知を受けた日から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日以内とする。</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・全改</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職権による換価の猶予に係る徴収金の分割納付又は分割納入の方法</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"https://cgi.city.yokohama.lg.jp/somu/reiki/reiki_honbun/g202RG00000570.html#e000000682"</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7</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1</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の規定は、法第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項において読み替えて準用する法第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項及び第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項に規定する条例で定める方法について準用する。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"https://cgi.city.yokohama.lg.jp/somu/reiki/reiki_honbun/g202RG00000570.html#e000000690"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7</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から</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"https://cgi.city.yokohama.lg.jp/somu/reiki/reiki_honbun/g202RG00000570.html#e000000703"</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5</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までの規定は、法第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項において読み替えて準用する法第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項又は第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項の規定により、分割して納付し、又は納入させる場合について準用する。</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・全改</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職権による換価の猶予の手続</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項及び第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項に規定する条例で定める書類は、次に掲げる書類とする。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当該猶予を受けようとする日前</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年間の収入及び支出の実績並びに同日以後の収入及び支出の見込みを明らかにする書類</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当該猶予を受けようとする金額が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1,000,000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円を超え、かつ、その期間が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月を超える場合には、政令第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の規定により提出すべき書類その他担保の提供に関し必要となる書類</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"https://cgi.city.yokohama.lg.jp/somu/reiki/reiki_honbun/g202RG00000570.html#e000000744"</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8</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に掲げる書類</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・追加</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申請による換価の猶予の要件等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項に規定する条例で定める期間は、当該徴収金の納期限から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月以内とする。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"https://cgi.city.yokohama.lg.jp/somu/reiki/reiki_honbun/g202RG00000570.html#e000000682"</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7</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1</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の規定は、法第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項において読み替えて準用する法第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項及び第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項に規定する条例で定める方法について準用する。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"https://cgi.city.yokohama.lg.jp/somu/reiki/reiki_honbun/g202RG00000570.html#e000000690"</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7</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から</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"https://cgi.city.yokohama.lg.jp/somu/reiki/reiki_honbun/g202RG00000570.html#e000000703"</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5</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までの規定は、法第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項において読み替えて準用する法第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項又は第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項の規定により、分割して納付し、又は納入させる場合について準用する。</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・追加</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申請による換価の猶予の申請手続等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項に規定する条例で定める事項は、次に掲げる事項とする。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当該申請による換価の猶予</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項に規定する申請による換価の猶予をいう。以下この条において同じ。</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に係る徴収金を一時に納付し、又は納入することによりその事業の継続又はその生活の維持が困難となる事情の詳細</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納付又は納入が困難である金額</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当該申請による換価の猶予を受けようとする期間</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当該申請による換価の猶予を受けようとする金額が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1,000,000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円を超え、かつ、その期間が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月を超える場合には、提供しようとする法第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項各号に掲げる担保の種類、数量、価額及び所在</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その担保が保証人の保証であるときは、保証人の氏名及び住所又は居所</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その他担保に関し参考となるべき事項</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担保を提供することができない特別の事情があるときは、その事情</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分割納付又は分割納入の各納付期限又は各納入期限及び各納付期限又は各納入期限ごとの納付金額又は納入金額</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"https://cgi.city.yokohama.lg.jp/somu/reiki/reiki_honbun/g202RG00000570.html#e000000719"</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8</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1</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に掲げる事項</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項及び第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項に規定する条例で定める書類は、</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"https://cgi.city.yokohama.lg.jp/somu/reiki/reiki_honbun/g202RG00000570.html#e000000834"</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9</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条の</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2</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各号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に掲げる書類とする。</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項に規定する条例で定める事項は、次に掲げる事項とする。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申請による換価の猶予を受けた期間内に当該申請による換価の猶予を受けた金額を納付し、又は納入することができないやむを得ない理由</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当該申請による換価の猶予をした期間の延長を受けようとする期間</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"https://cgi.city.yokohama.lg.jp/somu/reiki/reiki_honbun/g202RG00000570.html#e000000888"</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1</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項第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4</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から</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"https://cgi.city.yokohama.lg.jp/somu/reiki/reiki_honbun/g202RG00000570.html#e000000895"</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第</w:t>
      </w:r>
      <w:r>
        <w:rPr>
          <w:rStyle w:val="なし"/>
          <w:rFonts w:ascii="ＭＳ 明朝" w:cs="ＭＳ 明朝" w:hAnsi="ＭＳ 明朝" w:eastAsia="ＭＳ 明朝"/>
          <w:outline w:val="0"/>
          <w:color w:val="0000ff"/>
          <w:kern w:val="0"/>
          <w:u w:val="single" w:color="0000ff"/>
          <w:rtl w:val="0"/>
          <w:lang w:val="en-US"/>
          <w14:textFill>
            <w14:solidFill>
              <w14:srgbClr w14:val="0000FF"/>
            </w14:solidFill>
          </w14:textFill>
        </w:rPr>
        <w:t>6</w:t>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号</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までに掲げる事項</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項において準用する法第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8</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項に規定する条例で定める期間は、法第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項において準用する法第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項の規定による通知を受けた日から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日以内とする。</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・追加</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担保の徴取の例外</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項ただし書に規定する条例で定める場合は、次のいずれかに該当する場合とする。</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猶予に係る金額が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1,000,000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円以下である場合</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猶予の期間が</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月以内である場合</w:t>
      </w:r>
    </w:p>
    <w:p>
      <w:pPr>
        <w:pStyle w:val="Normal.0"/>
        <w:widowControl w:val="1"/>
        <w:shd w:val="clear" w:color="auto" w:fill="ffffff"/>
        <w:ind w:left="48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担保を徴することができない特別の事情がある場合</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56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・追加</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公示送達の方法</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法第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条の</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の規定による公示送達は、市役所又は納税地所管の区役所の掲示場に掲示して行うものとする。</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・令</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普通徴収の方法による納税通知書の交付</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普通徴収の方法により徴収する市税については、徴税吏員は、おそくとも納期限前</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10</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日までに、納税通知書を納税者に交付しなければならない。</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削除</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徴収金の納付手続</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納税者又は特別徴収義務者は、その徴収金の納期限までに、納税通知書、納付書又は納入書を添えて所定の機関に徴収金を納付し、又は納入しなければならない。</w:t>
      </w:r>
    </w:p>
    <w:p>
      <w:pPr>
        <w:pStyle w:val="Normal.0"/>
        <w:widowControl w:val="1"/>
        <w:shd w:val="clear" w:color="auto" w:fill="ffffff"/>
        <w:ind w:left="96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平</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29</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・一部改正</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firstLine="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納期限後に納付または納入する税金及び納入金に対する延滞金</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第</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14</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条　納税者または特別徴収義務者が納期限後に税金を納付し、または納入金を納入する場合は、その税額または納入金額に、その納期限の翌日から納付または納入の日までの期間の日数に応じ、年</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14.6</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パーセント〔納期限の翌日から</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1</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月を経過する日までの期間</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法に別段の定めがある場合はその期間</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については年</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7.3</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パーセント〕の割合を乗じて計算した金額に相当する延滞金額を加算して納付または納入しなければならない。</w:t>
      </w:r>
    </w:p>
    <w:p>
      <w:pPr>
        <w:pStyle w:val="Normal.0"/>
        <w:widowControl w:val="1"/>
        <w:shd w:val="clear" w:color="auto" w:fill="ffffff"/>
        <w:ind w:left="240" w:hanging="240"/>
        <w:jc w:val="left"/>
        <w:rPr>
          <w:rStyle w:val="なし"/>
          <w:rFonts w:ascii="ＭＳ 明朝" w:cs="ＭＳ 明朝" w:hAnsi="ＭＳ 明朝" w:eastAsia="ＭＳ 明朝"/>
          <w:outline w:val="0"/>
          <w:color w:val="000000"/>
          <w:kern w:val="0"/>
          <w:u w:color="000000"/>
          <w14:textFill>
            <w14:solidFill>
              <w14:srgbClr w14:val="000000"/>
            </w14:solidFill>
          </w14:textFill>
        </w:rPr>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2</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　</w: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begin" w:fldLock="0"/>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instrText xml:space="preserve"> HYPERLINK "https://cgi.city.yokohama.lg.jp/somu/reiki/reiki_honbun/g202RG00000570.html#e000000978"</w:instrText>
      </w:r>
      <w:r>
        <w:rPr>
          <w:rStyle w:val="Hyperlink.0"/>
          <w:rFonts w:ascii="ＭＳ 明朝" w:cs="ＭＳ 明朝" w:hAnsi="ＭＳ 明朝" w:eastAsia="ＭＳ 明朝"/>
          <w:outline w:val="0"/>
          <w:color w:val="0000ff"/>
          <w:kern w:val="0"/>
          <w:u w:val="single" w:color="0000ff"/>
          <w:lang w:val="ja-JP" w:eastAsia="ja-JP"/>
          <w14:textFill>
            <w14:solidFill>
              <w14:srgbClr w14:val="0000FF"/>
            </w14:solidFill>
          </w14:textFill>
        </w:rPr>
        <w:fldChar w:fldCharType="separate" w:fldLock="0"/>
      </w:r>
      <w:r>
        <w:rPr>
          <w:rStyle w:val="Hyperlink.0"/>
          <w:rFonts w:ascii="ＭＳ 明朝" w:cs="ＭＳ 明朝" w:hAnsi="ＭＳ 明朝" w:eastAsia="ＭＳ 明朝"/>
          <w:outline w:val="0"/>
          <w:color w:val="0000ff"/>
          <w:kern w:val="0"/>
          <w:u w:val="single" w:color="0000ff"/>
          <w:rtl w:val="0"/>
          <w:lang w:val="ja-JP" w:eastAsia="ja-JP"/>
          <w14:textFill>
            <w14:solidFill>
              <w14:srgbClr w14:val="0000FF"/>
            </w14:solidFill>
          </w14:textFill>
        </w:rPr>
        <w:t>前項</w:t>
      </w:r>
      <w:r>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の規定による延滞金の額の計算についての年当りの割合は、</w:t>
      </w:r>
      <w:r>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fldChar w:fldCharType="begin" w:fldLock="0"/>
      </w:r>
      <w:r>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instrText xml:space="preserve"> EQ \* jc2 \* "Font:Times-Roman" \* hps11 \o\ad(\s\up11(じゆん),閏)</w:instrText>
      </w:r>
      <w:r>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fldChar w:fldCharType="separate" w:fldLock="0"/>
      </w:r>
      <w:r>
        <w:rPr>
          <w:rStyle w:val="なし"/>
          <w:rFonts w:ascii="ＭＳ 明朝" w:cs="ＭＳ 明朝" w:hAnsi="ＭＳ 明朝" w:eastAsia="ＭＳ 明朝"/>
          <w:outline w:val="0"/>
          <w:color w:val="000000"/>
          <w:kern w:val="0"/>
          <w:u w:color="000000"/>
          <w:lang w:val="ja-JP" w:eastAsia="ja-JP"/>
          <w14:textFill>
            <w14:solidFill>
              <w14:srgbClr w14:val="000000"/>
            </w14:solidFill>
          </w14:textFill>
        </w:rPr>
        <w:fldChar w:fldCharType="end" w:fldLock="0"/>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年の日を含む期間についても、</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365</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日の割合とする。</w:t>
      </w:r>
    </w:p>
    <w:p>
      <w:pPr>
        <w:pStyle w:val="Normal.0"/>
        <w:widowControl w:val="1"/>
        <w:shd w:val="clear" w:color="auto" w:fill="ffffff"/>
        <w:ind w:left="240" w:firstLine="0"/>
        <w:jc w:val="left"/>
      </w:pP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rtl w:val="0"/>
          <w:lang w:val="ja-JP" w:eastAsia="ja-JP"/>
          <w14:textFill>
            <w14:solidFill>
              <w14:srgbClr w14:val="000000"/>
            </w14:solidFill>
          </w14:textFill>
        </w:rPr>
        <w:t>督促状の発付期限の特例</w:t>
      </w:r>
      <w:r>
        <w:rPr>
          <w:rStyle w:val="なし"/>
          <w:rFonts w:ascii="ＭＳ 明朝" w:cs="ＭＳ 明朝" w:hAnsi="ＭＳ 明朝" w:eastAsia="ＭＳ 明朝"/>
          <w:outline w:val="0"/>
          <w:color w:val="000000"/>
          <w:kern w:val="0"/>
          <w:u w:color="000000"/>
          <w:rtl w:val="0"/>
          <w:lang w:val="en-US"/>
          <w14:textFill>
            <w14:solidFill>
              <w14:srgbClr w14:val="000000"/>
            </w14:solidFill>
          </w14:textFill>
        </w:rPr>
        <w:t>)</w:t>
      </w:r>
      <w:r>
        <w:rPr>
          <w:rStyle w:val="なし"/>
          <w:rFonts w:ascii="ＭＳ 明朝" w:cs="ＭＳ 明朝" w:hAnsi="ＭＳ 明朝" w:eastAsia="ＭＳ 明朝"/>
          <w:outline w:val="0"/>
          <w:color w:val="000000"/>
          <w:kern w:val="0"/>
          <w:u w:color="000000"/>
          <w14:textFill>
            <w14:solidFill>
              <w14:srgbClr w14:val="000000"/>
            </w14:solidFill>
          </w14:textFill>
        </w:rPr>
      </w:r>
    </w:p>
    <w:sectPr>
      <w:headerReference w:type="default" r:id="rId4"/>
      <w:footerReference w:type="default" r:id="rId5"/>
      <w:pgSz w:w="12240" w:h="15840" w:orient="portrait"/>
      <w:pgMar w:top="1985" w:right="1701" w:bottom="1701"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游明朝">
    <w:charset w:val="00"/>
    <w:family w:val="roman"/>
    <w:pitch w:val="default"/>
  </w:font>
  <w:font w:name="ＭＳ 明朝">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ヘッダとフッタ"/>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84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ヘッダとフッタ">
    <w:name w:val="ヘッダとフッタ"/>
    <w:next w:val="ヘッダとフッタ"/>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游明朝" w:cs="游明朝" w:hAnsi="游明朝" w:eastAsia="游明朝"/>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character" w:styleId="なし">
    <w:name w:val="なし"/>
  </w:style>
  <w:style w:type="character" w:styleId="Hyperlink.0">
    <w:name w:val="Hyperlink.0"/>
    <w:basedOn w:val="なし"/>
    <w:next w:val="Hyperlink.0"/>
    <w:rPr>
      <w:rFonts w:ascii="ＭＳ 明朝" w:cs="ＭＳ 明朝" w:hAnsi="ＭＳ 明朝" w:eastAsia="ＭＳ 明朝"/>
      <w:outline w:val="0"/>
      <w:color w:val="0000ff"/>
      <w:kern w:val="0"/>
      <w:u w:val="single" w:color="0000ff"/>
      <w:lang w:val="ja-JP" w:eastAsia="ja-JP"/>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テーマ">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